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DB51" w14:textId="77777777" w:rsidR="001E6DBF" w:rsidRPr="00D757F9" w:rsidRDefault="001E6DBF" w:rsidP="001E6DBF">
      <w:pPr>
        <w:jc w:val="right"/>
        <w:rPr>
          <w:rFonts w:asciiTheme="minorHAnsi" w:hAnsiTheme="minorHAnsi" w:cstheme="minorHAnsi"/>
          <w:color w:val="auto"/>
        </w:rPr>
      </w:pPr>
      <w:r w:rsidRPr="00D757F9">
        <w:rPr>
          <w:rFonts w:asciiTheme="minorHAnsi" w:hAnsiTheme="minorHAnsi" w:cstheme="minorHAnsi"/>
          <w:color w:val="auto"/>
        </w:rPr>
        <w:t>Załącznik nr 2</w:t>
      </w:r>
    </w:p>
    <w:p w14:paraId="341A9914" w14:textId="77777777" w:rsidR="001E6DBF" w:rsidRPr="00D757F9" w:rsidRDefault="001E6DBF" w:rsidP="001E6DBF">
      <w:pPr>
        <w:jc w:val="right"/>
        <w:rPr>
          <w:rFonts w:asciiTheme="minorHAnsi" w:hAnsiTheme="minorHAnsi" w:cstheme="minorHAnsi"/>
          <w:color w:val="auto"/>
        </w:rPr>
      </w:pPr>
      <w:r w:rsidRPr="00D757F9">
        <w:rPr>
          <w:rFonts w:asciiTheme="minorHAnsi" w:hAnsiTheme="minorHAnsi" w:cstheme="minorHAnsi"/>
          <w:color w:val="auto"/>
        </w:rPr>
        <w:t>Specyfikacja wymaganych parametrów technicznych</w:t>
      </w:r>
    </w:p>
    <w:p w14:paraId="7B6F6868" w14:textId="77777777" w:rsidR="001E6DBF" w:rsidRPr="00D757F9" w:rsidRDefault="001E6DBF" w:rsidP="001E6DBF">
      <w:pPr>
        <w:rPr>
          <w:rFonts w:asciiTheme="minorHAnsi" w:hAnsiTheme="minorHAnsi" w:cstheme="minorHAnsi"/>
          <w:b/>
          <w:bCs/>
          <w:color w:val="auto"/>
          <w:u w:val="single"/>
        </w:rPr>
      </w:pPr>
    </w:p>
    <w:p w14:paraId="7C055D4E" w14:textId="1163A898" w:rsidR="001E6DBF" w:rsidRPr="00D757F9" w:rsidRDefault="001E6DBF" w:rsidP="001E6DBF">
      <w:pPr>
        <w:rPr>
          <w:rFonts w:asciiTheme="minorHAnsi" w:hAnsiTheme="minorHAnsi" w:cstheme="minorHAnsi"/>
          <w:b/>
          <w:bCs/>
          <w:color w:val="auto"/>
          <w:u w:val="single"/>
        </w:rPr>
      </w:pPr>
      <w:r w:rsidRPr="00D757F9">
        <w:rPr>
          <w:rFonts w:asciiTheme="minorHAnsi" w:hAnsiTheme="minorHAnsi" w:cstheme="minorHAnsi"/>
          <w:b/>
          <w:bCs/>
          <w:color w:val="auto"/>
          <w:u w:val="single"/>
        </w:rPr>
        <w:t xml:space="preserve">Zadanie / Pakiet </w:t>
      </w:r>
      <w:r>
        <w:rPr>
          <w:rFonts w:asciiTheme="minorHAnsi" w:hAnsiTheme="minorHAnsi" w:cstheme="minorHAnsi"/>
          <w:b/>
          <w:bCs/>
          <w:color w:val="auto"/>
          <w:u w:val="single"/>
        </w:rPr>
        <w:t>1</w:t>
      </w:r>
      <w:r w:rsidRPr="00D757F9">
        <w:rPr>
          <w:rFonts w:asciiTheme="minorHAnsi" w:hAnsiTheme="minorHAnsi" w:cstheme="minorHAnsi"/>
          <w:b/>
          <w:bCs/>
          <w:color w:val="auto"/>
          <w:u w:val="single"/>
        </w:rPr>
        <w:t xml:space="preserve"> – Monitor hemody</w:t>
      </w:r>
      <w:r>
        <w:rPr>
          <w:rFonts w:asciiTheme="minorHAnsi" w:hAnsiTheme="minorHAnsi" w:cstheme="minorHAnsi"/>
          <w:b/>
          <w:bCs/>
          <w:color w:val="auto"/>
          <w:u w:val="single"/>
        </w:rPr>
        <w:t>n</w:t>
      </w:r>
      <w:r w:rsidRPr="00D757F9">
        <w:rPr>
          <w:rFonts w:asciiTheme="minorHAnsi" w:hAnsiTheme="minorHAnsi" w:cstheme="minorHAnsi"/>
          <w:b/>
          <w:bCs/>
          <w:color w:val="auto"/>
          <w:u w:val="single"/>
        </w:rPr>
        <w:t>amiczny – 2 szt.</w:t>
      </w:r>
    </w:p>
    <w:p w14:paraId="590BD97D" w14:textId="21954125" w:rsidR="003D6CAA" w:rsidRPr="001E6DBF" w:rsidRDefault="003D6CAA">
      <w:pPr>
        <w:spacing w:after="0"/>
        <w:rPr>
          <w:b/>
          <w:bCs/>
        </w:rPr>
      </w:pPr>
    </w:p>
    <w:tbl>
      <w:tblPr>
        <w:tblStyle w:val="TableGrid"/>
        <w:tblW w:w="9062" w:type="dxa"/>
        <w:tblInd w:w="5" w:type="dxa"/>
        <w:tblCellMar>
          <w:top w:w="168" w:type="dxa"/>
          <w:left w:w="69" w:type="dxa"/>
          <w:right w:w="41" w:type="dxa"/>
        </w:tblCellMar>
        <w:tblLook w:val="04A0" w:firstRow="1" w:lastRow="0" w:firstColumn="1" w:lastColumn="0" w:noHBand="0" w:noVBand="1"/>
      </w:tblPr>
      <w:tblGrid>
        <w:gridCol w:w="420"/>
        <w:gridCol w:w="5822"/>
        <w:gridCol w:w="1409"/>
        <w:gridCol w:w="1411"/>
      </w:tblGrid>
      <w:tr w:rsidR="003D6CAA" w14:paraId="5A2DAD00" w14:textId="77777777">
        <w:trPr>
          <w:trHeight w:val="66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82D4" w14:textId="77777777" w:rsidR="003D6CAA" w:rsidRDefault="00A35854">
            <w:pPr>
              <w:ind w:left="36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ECBF8" w14:textId="77777777" w:rsidR="003D6CAA" w:rsidRDefault="00A35854">
            <w:r>
              <w:rPr>
                <w:rFonts w:ascii="Times New Roman" w:eastAsia="Times New Roman" w:hAnsi="Times New Roman" w:cs="Times New Roman"/>
              </w:rPr>
              <w:t xml:space="preserve">Parametr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3B17A" w14:textId="77777777" w:rsidR="003D6CAA" w:rsidRDefault="00A35854">
            <w:r>
              <w:rPr>
                <w:rFonts w:ascii="Times New Roman" w:eastAsia="Times New Roman" w:hAnsi="Times New Roman" w:cs="Times New Roman"/>
              </w:rPr>
              <w:t xml:space="preserve">Parametr wymagany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FC5AA1" w14:textId="77777777" w:rsidR="003D6CAA" w:rsidRDefault="00A3585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Parametr oferowany </w:t>
            </w:r>
          </w:p>
        </w:tc>
      </w:tr>
      <w:tr w:rsidR="003D6CAA" w14:paraId="6DB5967F" w14:textId="77777777" w:rsidTr="00EB04A4">
        <w:trPr>
          <w:trHeight w:val="28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C307" w14:textId="77777777" w:rsidR="003D6CAA" w:rsidRDefault="00A35854">
            <w:pPr>
              <w:spacing w:after="112"/>
              <w:ind w:left="58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  <w:p w14:paraId="731097D7" w14:textId="77777777" w:rsidR="003D6CAA" w:rsidRDefault="00A3585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0B10" w14:textId="77777777" w:rsidR="003D6CAA" w:rsidRDefault="00A35854" w:rsidP="009B40C2">
            <w:pPr>
              <w:spacing w:after="13" w:line="250" w:lineRule="auto"/>
            </w:pPr>
            <w:r>
              <w:rPr>
                <w:rFonts w:ascii="Times New Roman" w:eastAsia="Times New Roman" w:hAnsi="Times New Roman" w:cs="Times New Roman"/>
              </w:rPr>
              <w:t>Ocena hemodynamiczna układu krążenia metodą małoinwazyjną rozumianą jako:</w:t>
            </w:r>
          </w:p>
          <w:p w14:paraId="701B5DAB" w14:textId="77777777" w:rsidR="003D6CAA" w:rsidRDefault="00A35854" w:rsidP="009B40C2">
            <w:pPr>
              <w:numPr>
                <w:ilvl w:val="0"/>
                <w:numId w:val="1"/>
              </w:numPr>
              <w:spacing w:after="6"/>
              <w:ind w:hanging="360"/>
            </w:pPr>
            <w:r>
              <w:rPr>
                <w:rFonts w:ascii="Times New Roman" w:eastAsia="Times New Roman" w:hAnsi="Times New Roman" w:cs="Times New Roman"/>
              </w:rPr>
              <w:t>bez użycia cewnika Swan-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Ganza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64E568CC" w14:textId="77777777" w:rsidR="003D6CAA" w:rsidRDefault="00A35854" w:rsidP="009B40C2">
            <w:pPr>
              <w:numPr>
                <w:ilvl w:val="0"/>
                <w:numId w:val="1"/>
              </w:numPr>
              <w:spacing w:after="22" w:line="25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pomiar parametrów hemodynamicznych z jednego dostępu naczyniowego</w:t>
            </w:r>
          </w:p>
          <w:p w14:paraId="4FF247BB" w14:textId="77777777" w:rsidR="003D6CAA" w:rsidRDefault="00A35854" w:rsidP="009B40C2">
            <w:pPr>
              <w:numPr>
                <w:ilvl w:val="0"/>
                <w:numId w:val="1"/>
              </w:numPr>
              <w:spacing w:after="17" w:line="252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oraz metodą małoinwazyjną: drogą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kaniulacji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obwodowego naczynia tętniczego i żyły głównej górnej,</w:t>
            </w:r>
          </w:p>
          <w:p w14:paraId="1CB6A0CF" w14:textId="77777777" w:rsidR="003D6CAA" w:rsidRDefault="00A35854" w:rsidP="009B40C2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>pomiar możliwy u pacjentów zaintubowanych i nie zaintubowanych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3F0CE" w14:textId="77777777" w:rsidR="003D6CAA" w:rsidRDefault="00A35854" w:rsidP="00A04F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9CCE1" w14:textId="77777777" w:rsidR="003D6CAA" w:rsidRDefault="003D6CAA" w:rsidP="00EB04A4">
            <w:pPr>
              <w:ind w:left="3"/>
              <w:jc w:val="center"/>
            </w:pPr>
          </w:p>
        </w:tc>
      </w:tr>
      <w:tr w:rsidR="003D6CAA" w14:paraId="2A5EE53F" w14:textId="77777777" w:rsidTr="00EB04A4">
        <w:trPr>
          <w:trHeight w:val="362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8045" w14:textId="77777777" w:rsidR="003D6CAA" w:rsidRDefault="00A35854">
            <w:pPr>
              <w:ind w:left="58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54B3E7" w14:textId="77777777" w:rsidR="003D6CAA" w:rsidRDefault="00A35854">
            <w:pPr>
              <w:spacing w:line="252" w:lineRule="auto"/>
              <w:ind w:right="25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Analiza kształtu fali ciśnienia tętniczego do ciągłego (w czasie rzeczywistym) oznaczania ciśnienia krwi, trendu rzutu serca, reakcji hemodynamicznych na podanie płynów i innych parametrów pochodnych z wykorzystaniem jednego dostępu naczyniowego. Mierzone parametry: </w:t>
            </w:r>
          </w:p>
          <w:p w14:paraId="738680C7" w14:textId="77777777" w:rsidR="001F5B9D" w:rsidRDefault="00A35854">
            <w:pPr>
              <w:spacing w:after="1" w:line="25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 trend – trend rzutu serca, S</w:t>
            </w:r>
          </w:p>
          <w:p w14:paraId="0A0746A9" w14:textId="77777777" w:rsidR="001F5B9D" w:rsidRDefault="00A35854">
            <w:pPr>
              <w:spacing w:after="1" w:line="25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 - objętość wyrzutowa, </w:t>
            </w:r>
          </w:p>
          <w:p w14:paraId="542E7851" w14:textId="77777777" w:rsidR="001F5B9D" w:rsidRDefault="00A35854">
            <w:pPr>
              <w:spacing w:after="1" w:line="25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SVV - wahania objętości wyrzutowej, </w:t>
            </w:r>
          </w:p>
          <w:p w14:paraId="15CA9ABD" w14:textId="77777777" w:rsidR="001F5B9D" w:rsidRDefault="00A35854">
            <w:pPr>
              <w:spacing w:after="1" w:line="25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PPV - wahania ciśnienia tętniczego, </w:t>
            </w:r>
          </w:p>
          <w:p w14:paraId="189EF9F0" w14:textId="77777777" w:rsidR="001F5B9D" w:rsidRDefault="00A35854">
            <w:pPr>
              <w:spacing w:after="1" w:line="25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SVR - systemowy opór naczyniowy, </w:t>
            </w:r>
          </w:p>
          <w:p w14:paraId="25E72549" w14:textId="77777777" w:rsidR="001F5B9D" w:rsidRDefault="00A35854">
            <w:pPr>
              <w:spacing w:after="1" w:line="25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CPO - moc pojemności minutowej,  </w:t>
            </w:r>
          </w:p>
          <w:p w14:paraId="2F8E24BB" w14:textId="77777777" w:rsidR="003D6CAA" w:rsidRDefault="00A35854">
            <w:pPr>
              <w:spacing w:after="1" w:line="251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dPmx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kurczliwość lewej komory,  </w:t>
            </w:r>
          </w:p>
          <w:p w14:paraId="7B23F126" w14:textId="77777777" w:rsidR="001F5B9D" w:rsidRDefault="00A35854">
            <w:pPr>
              <w:ind w:right="3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HR częstość akcji serca, </w:t>
            </w:r>
          </w:p>
          <w:p w14:paraId="2CE72921" w14:textId="77777777" w:rsidR="001F5B9D" w:rsidRDefault="00A35854">
            <w:pPr>
              <w:ind w:right="35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APsys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Ciśnienie skurczowe,</w:t>
            </w:r>
          </w:p>
          <w:p w14:paraId="3B21A73D" w14:textId="77777777" w:rsidR="001F5B9D" w:rsidRDefault="00A35854">
            <w:pPr>
              <w:ind w:right="3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APdia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Ciśnienie rozkurczowe,</w:t>
            </w:r>
          </w:p>
          <w:p w14:paraId="1519973E" w14:textId="77777777" w:rsidR="001F5B9D" w:rsidRDefault="00A35854">
            <w:pPr>
              <w:ind w:right="3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MAP średnie ciśnienie tętnicze,  </w:t>
            </w:r>
          </w:p>
          <w:p w14:paraId="11CBF553" w14:textId="77777777" w:rsidR="003D6CAA" w:rsidRDefault="00A35854">
            <w:pPr>
              <w:ind w:right="353"/>
            </w:pPr>
            <w:r>
              <w:rPr>
                <w:rFonts w:ascii="Times New Roman" w:eastAsia="Times New Roman" w:hAnsi="Times New Roman" w:cs="Times New Roman"/>
              </w:rPr>
              <w:t xml:space="preserve">CVP ciśnienie żylne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35C9" w14:textId="77777777" w:rsidR="003D6CAA" w:rsidRDefault="00A35854" w:rsidP="00A04F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F488C" w14:textId="77777777" w:rsidR="003D6CAA" w:rsidRDefault="003D6CAA" w:rsidP="00EB04A4">
            <w:pPr>
              <w:ind w:left="3"/>
              <w:jc w:val="center"/>
            </w:pPr>
          </w:p>
        </w:tc>
      </w:tr>
      <w:tr w:rsidR="003D6CAA" w14:paraId="68CA24AC" w14:textId="77777777" w:rsidTr="00EB04A4">
        <w:trPr>
          <w:trHeight w:val="213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792E" w14:textId="77777777" w:rsidR="003D6CAA" w:rsidRDefault="00A35854">
            <w:pPr>
              <w:ind w:left="58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A4A3" w14:textId="77777777" w:rsidR="003D6CAA" w:rsidRDefault="00A35854" w:rsidP="00E74EE1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</w:rPr>
              <w:t xml:space="preserve">Dla uzyskania maksymalnie dokładnego pomiaru ciągłego rzutu serca urządzenie posiadające dwie opcje kalibracji:  </w:t>
            </w:r>
          </w:p>
          <w:p w14:paraId="02AEF3A2" w14:textId="77777777" w:rsidR="003D6CAA" w:rsidRDefault="00A35854" w:rsidP="00E74EE1">
            <w:pPr>
              <w:numPr>
                <w:ilvl w:val="0"/>
                <w:numId w:val="2"/>
              </w:numPr>
              <w:spacing w:after="120" w:line="252" w:lineRule="auto"/>
            </w:pPr>
            <w:r>
              <w:rPr>
                <w:rFonts w:ascii="Times New Roman" w:eastAsia="Times New Roman" w:hAnsi="Times New Roman" w:cs="Times New Roman"/>
              </w:rPr>
              <w:t xml:space="preserve">automatyczną rozumianą jako wygenerowanie szacunkowej wartości kalibracji na podstawie ciśnienia krwi oraz danych pacjenta, </w:t>
            </w:r>
          </w:p>
          <w:p w14:paraId="0CC54F6B" w14:textId="77777777" w:rsidR="003D6CAA" w:rsidRDefault="00A35854" w:rsidP="00E74EE1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ręczną rozumianą jako wpisanie w polu wprowadzania danych wartości referencyjnej CO, otrzymanej za pomocą innej technologii monitorowania hemodynamicznego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46CE1" w14:textId="77777777" w:rsidR="003D6CAA" w:rsidRDefault="00A35854" w:rsidP="00A04F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1B644" w14:textId="77777777" w:rsidR="003D6CAA" w:rsidRDefault="003D6CAA" w:rsidP="00EB04A4">
            <w:pPr>
              <w:ind w:left="3"/>
              <w:jc w:val="center"/>
            </w:pPr>
          </w:p>
        </w:tc>
      </w:tr>
      <w:tr w:rsidR="003D6CAA" w14:paraId="077B0E6A" w14:textId="77777777" w:rsidTr="00EB04A4">
        <w:trPr>
          <w:trHeight w:val="259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C8DB" w14:textId="77777777" w:rsidR="003D6CAA" w:rsidRDefault="00A35854">
            <w:pPr>
              <w:ind w:left="58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4264" w14:textId="77777777" w:rsidR="003D6CAA" w:rsidRDefault="00A35854" w:rsidP="00F04583">
            <w:pPr>
              <w:spacing w:after="1" w:line="251" w:lineRule="auto"/>
            </w:pPr>
            <w:r>
              <w:rPr>
                <w:rFonts w:ascii="Times New Roman" w:eastAsia="Times New Roman" w:hAnsi="Times New Roman" w:cs="Times New Roman"/>
              </w:rPr>
              <w:t xml:space="preserve">Możliwość rozszerzenia o moduł ciągłego pomiaru rzutu serca z analizy kształtu fali ciśnienia tętniczego kalibrowany metodą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termodylucji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przezpłucnej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drogą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kaniulacji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obwodowego naczynia tętniczego i żyły głównej górnej. </w:t>
            </w:r>
          </w:p>
          <w:p w14:paraId="13E2BF16" w14:textId="77777777" w:rsidR="003D6CAA" w:rsidRDefault="00A35854" w:rsidP="00F04583">
            <w:pPr>
              <w:spacing w:after="28"/>
            </w:pPr>
            <w:r>
              <w:rPr>
                <w:rFonts w:ascii="Times New Roman" w:eastAsia="Times New Roman" w:hAnsi="Times New Roman" w:cs="Times New Roman"/>
              </w:rPr>
              <w:t xml:space="preserve">Mierzone parametry: </w:t>
            </w:r>
          </w:p>
          <w:p w14:paraId="7CC970C7" w14:textId="77777777" w:rsidR="003D6CAA" w:rsidRDefault="00A35854" w:rsidP="00F04583">
            <w:pPr>
              <w:numPr>
                <w:ilvl w:val="0"/>
                <w:numId w:val="3"/>
              </w:numPr>
              <w:spacing w:after="16"/>
              <w:ind w:hanging="360"/>
            </w:pPr>
            <w:r>
              <w:rPr>
                <w:rFonts w:ascii="Times New Roman" w:eastAsia="Times New Roman" w:hAnsi="Times New Roman" w:cs="Times New Roman"/>
              </w:rPr>
              <w:t>Rzut minutowy z analizy konturu fali tętna CO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PC</w:t>
            </w:r>
            <w:r>
              <w:rPr>
                <w:rFonts w:ascii="Times New Roman" w:eastAsia="Times New Roman" w:hAnsi="Times New Roman" w:cs="Times New Roman"/>
              </w:rPr>
              <w:t xml:space="preserve"> (CI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PC</w:t>
            </w:r>
            <w:r>
              <w:rPr>
                <w:rFonts w:ascii="Times New Roman" w:eastAsia="Times New Roman" w:hAnsi="Times New Roman" w:cs="Times New Roman"/>
              </w:rPr>
              <w:t xml:space="preserve">), </w:t>
            </w:r>
          </w:p>
          <w:p w14:paraId="56F86E90" w14:textId="77777777" w:rsidR="003D6CAA" w:rsidRDefault="00A35854" w:rsidP="00F04583">
            <w:pPr>
              <w:numPr>
                <w:ilvl w:val="0"/>
                <w:numId w:val="3"/>
              </w:numPr>
              <w:spacing w:after="20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Ciśnienie tętnicze krwi skurczowe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Apsys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13B6764A" w14:textId="77777777" w:rsidR="003D6CAA" w:rsidRDefault="00A35854" w:rsidP="00F04583">
            <w:pPr>
              <w:numPr>
                <w:ilvl w:val="0"/>
                <w:numId w:val="3"/>
              </w:numPr>
              <w:spacing w:after="18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Ciśnienie tętnicze krwi rozkurczowe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Apdia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59E49E8B" w14:textId="77777777" w:rsidR="003D6CAA" w:rsidRPr="00163D88" w:rsidRDefault="00A35854" w:rsidP="00F04583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Ciśnienie tętnicze krwi średnie MAP, </w:t>
            </w:r>
          </w:p>
          <w:p w14:paraId="32A31409" w14:textId="77777777" w:rsidR="00163D88" w:rsidRDefault="00163D88" w:rsidP="00163D88">
            <w:pPr>
              <w:numPr>
                <w:ilvl w:val="0"/>
                <w:numId w:val="4"/>
              </w:numPr>
              <w:spacing w:after="20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Częstość skurczów serca HR, </w:t>
            </w:r>
          </w:p>
          <w:p w14:paraId="3544796F" w14:textId="77777777" w:rsidR="00163D88" w:rsidRDefault="00163D88" w:rsidP="00163D88">
            <w:pPr>
              <w:numPr>
                <w:ilvl w:val="0"/>
                <w:numId w:val="4"/>
              </w:numPr>
              <w:spacing w:after="20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Ośrodkowe ciśnienie żylne CVP, </w:t>
            </w:r>
          </w:p>
          <w:p w14:paraId="1EF35AD6" w14:textId="77777777" w:rsidR="00163D88" w:rsidRDefault="00163D88" w:rsidP="00163D88">
            <w:pPr>
              <w:numPr>
                <w:ilvl w:val="0"/>
                <w:numId w:val="4"/>
              </w:numPr>
              <w:spacing w:after="20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Objętość wyrzutowa SV (SVI), </w:t>
            </w:r>
          </w:p>
          <w:p w14:paraId="78F09077" w14:textId="77777777" w:rsidR="00163D88" w:rsidRDefault="00163D88" w:rsidP="00163D88">
            <w:pPr>
              <w:numPr>
                <w:ilvl w:val="0"/>
                <w:numId w:val="4"/>
              </w:numPr>
              <w:spacing w:after="18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Samoistne wahania objętości wyrzutowej SVV, </w:t>
            </w:r>
          </w:p>
          <w:p w14:paraId="3FE3256F" w14:textId="77777777" w:rsidR="00163D88" w:rsidRDefault="00163D88" w:rsidP="00163D88">
            <w:pPr>
              <w:numPr>
                <w:ilvl w:val="0"/>
                <w:numId w:val="4"/>
              </w:numPr>
              <w:spacing w:after="20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Samoistne wahania ciśnienia tętna PPV, </w:t>
            </w:r>
          </w:p>
          <w:p w14:paraId="081FE513" w14:textId="77777777" w:rsidR="00163D88" w:rsidRDefault="00163D88" w:rsidP="00163D88">
            <w:pPr>
              <w:numPr>
                <w:ilvl w:val="0"/>
                <w:numId w:val="4"/>
              </w:numPr>
              <w:spacing w:after="20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Obwodowy opór naczyniowy SVR (SVRI), </w:t>
            </w:r>
          </w:p>
          <w:p w14:paraId="4AA3C3E6" w14:textId="77777777" w:rsidR="00163D88" w:rsidRDefault="00163D88" w:rsidP="00163D88">
            <w:pPr>
              <w:numPr>
                <w:ilvl w:val="0"/>
                <w:numId w:val="4"/>
              </w:numPr>
              <w:spacing w:after="20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Wskaźnik kurczliwości lewej komory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dPmax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079F18AA" w14:textId="77777777" w:rsidR="00163D88" w:rsidRDefault="00163D88" w:rsidP="00163D88">
            <w:pPr>
              <w:numPr>
                <w:ilvl w:val="0"/>
                <w:numId w:val="4"/>
              </w:numPr>
              <w:spacing w:after="160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Rzut minutowy 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termodylucji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przezpłucnej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tdCO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D81D785" w14:textId="77777777" w:rsidR="00163D88" w:rsidRDefault="00163D88" w:rsidP="00163D88">
            <w:pPr>
              <w:spacing w:after="17"/>
              <w:ind w:left="720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tdCI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14:paraId="7935F822" w14:textId="77777777" w:rsidR="00163D88" w:rsidRDefault="00163D88" w:rsidP="00163D88">
            <w:pPr>
              <w:numPr>
                <w:ilvl w:val="0"/>
                <w:numId w:val="4"/>
              </w:numPr>
              <w:spacing w:after="20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Wskaźnik funkcji serca CFI  </w:t>
            </w:r>
          </w:p>
          <w:p w14:paraId="267D2312" w14:textId="77777777" w:rsidR="00163D88" w:rsidRDefault="00163D88" w:rsidP="00163D88">
            <w:pPr>
              <w:numPr>
                <w:ilvl w:val="0"/>
                <w:numId w:val="4"/>
              </w:numPr>
              <w:spacing w:after="26" w:line="253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Całkowita objętość końcowo-rozkurczowa GEDV, (GEDI) </w:t>
            </w:r>
          </w:p>
          <w:p w14:paraId="29B7209D" w14:textId="77777777" w:rsidR="00163D88" w:rsidRDefault="00163D88" w:rsidP="00163D88">
            <w:pPr>
              <w:numPr>
                <w:ilvl w:val="0"/>
                <w:numId w:val="4"/>
              </w:numPr>
              <w:spacing w:after="20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Objętość pozanaczyniowej wody płucnej EVLW, (ELWI) </w:t>
            </w:r>
          </w:p>
          <w:p w14:paraId="716AEDEA" w14:textId="77777777" w:rsidR="00163D88" w:rsidRDefault="00163D88" w:rsidP="00163D88">
            <w:pPr>
              <w:numPr>
                <w:ilvl w:val="0"/>
                <w:numId w:val="4"/>
              </w:numPr>
              <w:spacing w:after="18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Wskaźnik przepuszczalności naczyń płucnych PVPI, </w:t>
            </w:r>
          </w:p>
          <w:p w14:paraId="2E3623C5" w14:textId="77777777" w:rsidR="00163D88" w:rsidRDefault="00163D88" w:rsidP="00163D88">
            <w:pPr>
              <w:numPr>
                <w:ilvl w:val="0"/>
                <w:numId w:val="4"/>
              </w:numPr>
              <w:spacing w:after="20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Całkowita frakcja wyrzutowa GEF,  </w:t>
            </w:r>
          </w:p>
          <w:p w14:paraId="6E06F67C" w14:textId="77777777" w:rsidR="00163D88" w:rsidRDefault="00163D88" w:rsidP="00163D88">
            <w:pPr>
              <w:numPr>
                <w:ilvl w:val="0"/>
                <w:numId w:val="4"/>
              </w:numPr>
              <w:spacing w:after="20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Moc użyteczna serca CP </w:t>
            </w:r>
          </w:p>
          <w:p w14:paraId="1C2ADC8C" w14:textId="77777777" w:rsidR="00163D88" w:rsidRDefault="00163D88" w:rsidP="00163D88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>Objętość krwi krążącej w klatce piersiowej ITBV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B71C" w14:textId="77777777" w:rsidR="003D6CAA" w:rsidRDefault="00A35854" w:rsidP="00A04F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C7540" w14:textId="77777777" w:rsidR="003D6CAA" w:rsidRDefault="003D6CAA" w:rsidP="00EB04A4">
            <w:pPr>
              <w:ind w:left="3"/>
              <w:jc w:val="center"/>
            </w:pPr>
          </w:p>
        </w:tc>
      </w:tr>
    </w:tbl>
    <w:p w14:paraId="16E4BD25" w14:textId="77777777" w:rsidR="003D6CAA" w:rsidRDefault="003D6CAA">
      <w:pPr>
        <w:spacing w:after="0"/>
        <w:ind w:left="-1416" w:right="9"/>
      </w:pPr>
    </w:p>
    <w:tbl>
      <w:tblPr>
        <w:tblStyle w:val="TableGrid"/>
        <w:tblW w:w="9062" w:type="dxa"/>
        <w:tblInd w:w="5" w:type="dxa"/>
        <w:tblCellMar>
          <w:top w:w="61" w:type="dxa"/>
          <w:left w:w="69" w:type="dxa"/>
          <w:right w:w="31" w:type="dxa"/>
        </w:tblCellMar>
        <w:tblLook w:val="04A0" w:firstRow="1" w:lastRow="0" w:firstColumn="1" w:lastColumn="0" w:noHBand="0" w:noVBand="1"/>
      </w:tblPr>
      <w:tblGrid>
        <w:gridCol w:w="420"/>
        <w:gridCol w:w="5822"/>
        <w:gridCol w:w="1409"/>
        <w:gridCol w:w="1411"/>
      </w:tblGrid>
      <w:tr w:rsidR="003D6CAA" w14:paraId="221E16E1" w14:textId="77777777" w:rsidTr="00EB04A4">
        <w:trPr>
          <w:trHeight w:val="200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F69A" w14:textId="77777777" w:rsidR="003D6CAA" w:rsidRDefault="00AD6235">
            <w:pPr>
              <w:ind w:left="58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A3585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5AB3" w14:textId="77777777" w:rsidR="003D6CAA" w:rsidRDefault="00A35854" w:rsidP="006E2C95">
            <w:pPr>
              <w:ind w:right="275"/>
            </w:pPr>
            <w:r>
              <w:rPr>
                <w:rFonts w:ascii="Times New Roman" w:eastAsia="Times New Roman" w:hAnsi="Times New Roman" w:cs="Times New Roman"/>
              </w:rPr>
              <w:t xml:space="preserve">Możliwość rozszerzenia o moduł ciągłego (w czasie rzeczywistym) pomiar saturacji krwi żylnej  z żyły głównej górnej za pomocą refleksyjnego czujnika światłowodowego zakładanego do istniejącego cewnika CVC. Mierzone parametry ScvO2 - saturacja krwi żylnej z żyły głównej górnej, DO2 – dostarczenie tlenu, VO2 – konsumpcja tlenu, O2ER - współczynnik ekstrakcji tlenu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35F4" w14:textId="77777777" w:rsidR="003D6CAA" w:rsidRDefault="00A35854" w:rsidP="00A04F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C2EE" w14:textId="77777777" w:rsidR="003D6CAA" w:rsidRDefault="003D6CAA" w:rsidP="00EB04A4">
            <w:pPr>
              <w:ind w:left="3"/>
              <w:jc w:val="center"/>
            </w:pPr>
          </w:p>
        </w:tc>
      </w:tr>
      <w:tr w:rsidR="003D6CAA" w14:paraId="1083117F" w14:textId="77777777" w:rsidTr="00EB04A4">
        <w:trPr>
          <w:trHeight w:val="147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7739" w14:textId="77777777" w:rsidR="003D6CAA" w:rsidRDefault="00AD6235">
            <w:pPr>
              <w:ind w:left="58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A3585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BC78" w14:textId="77777777" w:rsidR="003D6CAA" w:rsidRDefault="00A35854" w:rsidP="00347C50">
            <w:r>
              <w:rPr>
                <w:rFonts w:ascii="Times New Roman" w:eastAsia="Times New Roman" w:hAnsi="Times New Roman" w:cs="Times New Roman"/>
              </w:rPr>
              <w:t xml:space="preserve">Urządzenie umożliwiające rozbudowę o pomiar stałego monitorowania nasycenia hemoglobiny tętniczej tlenem (SpO2), a także o pomiar densytometryczny tętna do określania stężenia zieleni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indocyjaninowej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wskaźnika stosowanego do oceny ogólnej czynności wątroby i/lub perfuzji otrzewnej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D1DAF" w14:textId="77777777" w:rsidR="003D6CAA" w:rsidRDefault="00A35854" w:rsidP="00A04F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8B777" w14:textId="77777777" w:rsidR="003D6CAA" w:rsidRDefault="003D6CAA" w:rsidP="00EB04A4">
            <w:pPr>
              <w:ind w:left="3"/>
              <w:jc w:val="center"/>
            </w:pPr>
          </w:p>
        </w:tc>
      </w:tr>
      <w:tr w:rsidR="003D6CAA" w14:paraId="60E5666E" w14:textId="77777777" w:rsidTr="00EB04A4">
        <w:trPr>
          <w:trHeight w:val="66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F0A2" w14:textId="77777777" w:rsidR="003D6CAA" w:rsidRDefault="00AD6235">
            <w:pPr>
              <w:ind w:left="58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A3585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32DF" w14:textId="77777777" w:rsidR="003D6CAA" w:rsidRDefault="00A35854" w:rsidP="00DB1F3F">
            <w:r>
              <w:rPr>
                <w:rFonts w:ascii="Times New Roman" w:eastAsia="Times New Roman" w:hAnsi="Times New Roman" w:cs="Times New Roman"/>
              </w:rPr>
              <w:t xml:space="preserve">Dane pomiarowe wyświetlane na min. 8” ekranie o wysokiej rozdzielczości – min. 800 x 480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pixel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5B71" w14:textId="77777777" w:rsidR="003D6CAA" w:rsidRDefault="00A35854" w:rsidP="00A04F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2F45C" w14:textId="77777777" w:rsidR="003D6CAA" w:rsidRDefault="003D6CAA" w:rsidP="00EB04A4">
            <w:pPr>
              <w:jc w:val="center"/>
            </w:pPr>
          </w:p>
        </w:tc>
      </w:tr>
      <w:tr w:rsidR="003D6CAA" w14:paraId="0AAADB1D" w14:textId="77777777" w:rsidTr="00EB04A4">
        <w:trPr>
          <w:trHeight w:val="11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7136" w14:textId="77777777" w:rsidR="003D6CAA" w:rsidRDefault="00AD6235">
            <w:pPr>
              <w:ind w:left="58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  <w:r w:rsidR="00A3585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09FE" w14:textId="77777777" w:rsidR="003D6CAA" w:rsidRDefault="00A35854" w:rsidP="00BB4D2B">
            <w:r>
              <w:rPr>
                <w:rFonts w:ascii="Times New Roman" w:eastAsia="Times New Roman" w:hAnsi="Times New Roman" w:cs="Times New Roman"/>
              </w:rPr>
              <w:t xml:space="preserve">Wyświetlanie rzeczywistej krzywej ciśnienia tętniczego (AP) Wyświetlanie wartości liczbowych częstości akcji serca, ciśnienia tętniczego skurczowego i rozkurczowego. Wartość średnia ciśnienia tętniczego wyświetlana w nawiasie.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F4C43" w14:textId="77777777" w:rsidR="003D6CAA" w:rsidRDefault="00A35854" w:rsidP="00A04F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6AE7" w14:textId="77777777" w:rsidR="003D6CAA" w:rsidRDefault="003D6CAA" w:rsidP="00EB04A4">
            <w:pPr>
              <w:ind w:left="3"/>
              <w:jc w:val="center"/>
            </w:pPr>
          </w:p>
        </w:tc>
      </w:tr>
    </w:tbl>
    <w:p w14:paraId="57A4AE0B" w14:textId="77777777" w:rsidR="003D6CAA" w:rsidRDefault="003D6CAA">
      <w:pPr>
        <w:spacing w:after="0"/>
        <w:ind w:left="-1416" w:right="9"/>
      </w:pPr>
    </w:p>
    <w:tbl>
      <w:tblPr>
        <w:tblStyle w:val="TableGrid"/>
        <w:tblW w:w="9062" w:type="dxa"/>
        <w:tblInd w:w="5" w:type="dxa"/>
        <w:tblCellMar>
          <w:top w:w="48" w:type="dxa"/>
          <w:left w:w="69" w:type="dxa"/>
          <w:right w:w="20" w:type="dxa"/>
        </w:tblCellMar>
        <w:tblLook w:val="04A0" w:firstRow="1" w:lastRow="0" w:firstColumn="1" w:lastColumn="0" w:noHBand="0" w:noVBand="1"/>
      </w:tblPr>
      <w:tblGrid>
        <w:gridCol w:w="419"/>
        <w:gridCol w:w="5682"/>
        <w:gridCol w:w="1379"/>
        <w:gridCol w:w="1582"/>
      </w:tblGrid>
      <w:tr w:rsidR="003D6CAA" w14:paraId="57160D04" w14:textId="77777777" w:rsidTr="00EB04A4">
        <w:trPr>
          <w:trHeight w:val="66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B2E9" w14:textId="77777777" w:rsidR="003D6CAA" w:rsidRDefault="00AD623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 w:rsidR="00A358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8975" w14:textId="77777777" w:rsidR="003D6CAA" w:rsidRDefault="00A35854" w:rsidP="002A14C1">
            <w:r>
              <w:rPr>
                <w:rFonts w:ascii="Times New Roman" w:eastAsia="Times New Roman" w:hAnsi="Times New Roman" w:cs="Times New Roman"/>
              </w:rPr>
              <w:t xml:space="preserve">Obsługa monitora poprzez ekran dotykowy, klawisze funkcyjne, oprogramowanie w języku polskim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F2E29" w14:textId="77777777" w:rsidR="003D6CAA" w:rsidRDefault="00A35854" w:rsidP="00A04F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AC0E0" w14:textId="77777777" w:rsidR="003D6CAA" w:rsidRDefault="003D6CAA" w:rsidP="00EB04A4">
            <w:pPr>
              <w:ind w:left="2"/>
              <w:jc w:val="center"/>
            </w:pPr>
          </w:p>
        </w:tc>
      </w:tr>
      <w:tr w:rsidR="003D6CAA" w14:paraId="220507A1" w14:textId="77777777" w:rsidTr="00EB04A4">
        <w:trPr>
          <w:trHeight w:val="39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FE42C6" w14:textId="77777777" w:rsidR="003D6CAA" w:rsidRDefault="00AD623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 w:rsidR="00A358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641F" w14:textId="77777777" w:rsidR="003D6CAA" w:rsidRDefault="00A35854" w:rsidP="002A14C1">
            <w:r>
              <w:rPr>
                <w:rFonts w:ascii="Times New Roman" w:eastAsia="Times New Roman" w:hAnsi="Times New Roman" w:cs="Times New Roman"/>
              </w:rPr>
              <w:t xml:space="preserve">Wybór sposobu </w:t>
            </w:r>
            <w:r w:rsidR="0054797F">
              <w:rPr>
                <w:rFonts w:ascii="Times New Roman" w:eastAsia="Times New Roman" w:hAnsi="Times New Roman" w:cs="Times New Roman"/>
              </w:rPr>
              <w:t>prezentacji danych pomiarowych</w:t>
            </w:r>
            <w:r w:rsidR="00D5673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C9F5" w14:textId="77777777" w:rsidR="003D6CAA" w:rsidRDefault="00A35854" w:rsidP="00A04F4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DADE5" w14:textId="77777777" w:rsidR="003D6CAA" w:rsidRDefault="003D6CAA" w:rsidP="00EB04A4">
            <w:pPr>
              <w:ind w:left="2"/>
              <w:jc w:val="center"/>
            </w:pPr>
          </w:p>
        </w:tc>
      </w:tr>
      <w:tr w:rsidR="008D2F38" w14:paraId="63931BEB" w14:textId="77777777" w:rsidTr="00EB04A4">
        <w:trPr>
          <w:trHeight w:val="119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725F" w14:textId="77777777" w:rsidR="008D2F38" w:rsidRDefault="008D2F38" w:rsidP="008D2F38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79E9" w14:textId="77777777" w:rsidR="008D2F38" w:rsidRDefault="008D2F38" w:rsidP="0054797F">
            <w:pPr>
              <w:ind w:right="114"/>
            </w:pPr>
            <w:r>
              <w:rPr>
                <w:rFonts w:ascii="Times New Roman" w:eastAsia="Times New Roman" w:hAnsi="Times New Roman" w:cs="Times New Roman"/>
              </w:rPr>
              <w:t xml:space="preserve">Ekran krzywej ciśnienia w czasie rzeczywistym, stałe wyświetlanie krzywej ciśnienia tętniczego zawierające znacznik skurczowego ciśnienia tętniczego. Możliwość jednoczesnego, ciągłego wyświetlania krzywej ośrodkowego ciśnienia żylnego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3997D" w14:textId="77777777" w:rsidR="008D2F38" w:rsidRDefault="008D2F38" w:rsidP="008D2F3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432F0" w14:textId="77777777" w:rsidR="008D2F38" w:rsidRDefault="008D2F38" w:rsidP="00EB04A4">
            <w:pPr>
              <w:ind w:right="114"/>
              <w:jc w:val="center"/>
            </w:pPr>
          </w:p>
        </w:tc>
      </w:tr>
      <w:tr w:rsidR="008D2F38" w14:paraId="7128459F" w14:textId="77777777" w:rsidTr="00EB04A4">
        <w:trPr>
          <w:trHeight w:val="239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F498" w14:textId="77777777" w:rsidR="008D2F38" w:rsidRDefault="008D2F38" w:rsidP="008D2F38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B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261E" w14:textId="77777777" w:rsidR="008D2F38" w:rsidRDefault="008D2F38" w:rsidP="00D56739">
            <w:pPr>
              <w:spacing w:after="118" w:line="252" w:lineRule="auto"/>
            </w:pPr>
            <w:r>
              <w:rPr>
                <w:rFonts w:ascii="Times New Roman" w:eastAsia="Times New Roman" w:hAnsi="Times New Roman" w:cs="Times New Roman"/>
              </w:rPr>
              <w:t xml:space="preserve">Ekran pola parametrów – wyświetlanie do dziewięciu parametrów w trzech polach parametrów. Pod parametrem wyświetlany czas jaki upłynął od ostatniego pomiaru metoda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termodylucji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lub od ostatniej kalibracji.  </w:t>
            </w:r>
          </w:p>
          <w:p w14:paraId="5B58F788" w14:textId="77777777" w:rsidR="008D2F38" w:rsidRDefault="008D2F38" w:rsidP="00D56739">
            <w:r>
              <w:rPr>
                <w:rFonts w:ascii="Times New Roman" w:eastAsia="Times New Roman" w:hAnsi="Times New Roman" w:cs="Times New Roman"/>
              </w:rPr>
              <w:t xml:space="preserve">Wyświetlanie wartości pomiarów, a także granic alarmów. Możliwość dowolnej zamiany wszystkich wyświetlanych parametrów indeksowanych na bezwzględne i z bezwzględnych na indeksowane.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D03CE" w14:textId="77777777" w:rsidR="008D2F38" w:rsidRDefault="008D2F38" w:rsidP="008D2F3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7E927" w14:textId="77777777" w:rsidR="008D2F38" w:rsidRDefault="008D2F38" w:rsidP="00EB04A4">
            <w:pPr>
              <w:jc w:val="center"/>
            </w:pPr>
          </w:p>
        </w:tc>
      </w:tr>
      <w:tr w:rsidR="008D2F38" w14:paraId="4EE7B7B5" w14:textId="77777777" w:rsidTr="00EB04A4">
        <w:trPr>
          <w:trHeight w:val="146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D767" w14:textId="77777777" w:rsidR="008D2F38" w:rsidRDefault="008D2F38" w:rsidP="008D2F38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C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60F5" w14:textId="77777777" w:rsidR="008D2F38" w:rsidRDefault="008D2F38" w:rsidP="00D56739">
            <w:pPr>
              <w:ind w:right="114"/>
            </w:pPr>
            <w:r>
              <w:rPr>
                <w:rFonts w:ascii="Times New Roman" w:eastAsia="Times New Roman" w:hAnsi="Times New Roman" w:cs="Times New Roman"/>
              </w:rPr>
              <w:t xml:space="preserve">Ekran przeglądu parametrów z systemem sygnalizacji świetlnej, Przedstawienie bieżących wartości wszystkich mierzonych parametrów, orientacja ikon żółtych i czerwonych wskazuje, czy wartość parametru jest powyżej czy poniżej zakresu normalnego.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8F56" w14:textId="77777777" w:rsidR="008D2F38" w:rsidRDefault="008D2F38" w:rsidP="008D2F3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ECBA8" w14:textId="77777777" w:rsidR="008D2F38" w:rsidRDefault="008D2F38" w:rsidP="00EB04A4">
            <w:pPr>
              <w:ind w:right="114"/>
              <w:jc w:val="center"/>
            </w:pPr>
          </w:p>
        </w:tc>
      </w:tr>
      <w:tr w:rsidR="008D2F38" w14:paraId="48536302" w14:textId="77777777" w:rsidTr="00EB04A4">
        <w:trPr>
          <w:trHeight w:val="332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8621" w14:textId="77777777" w:rsidR="008D2F38" w:rsidRDefault="008D2F38" w:rsidP="008D2F38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d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5EA0" w14:textId="77777777" w:rsidR="008D2F38" w:rsidRDefault="008D2F38" w:rsidP="00D56739">
            <w:pPr>
              <w:ind w:right="115"/>
            </w:pPr>
            <w:r>
              <w:rPr>
                <w:rFonts w:ascii="Times New Roman" w:eastAsia="Times New Roman" w:hAnsi="Times New Roman" w:cs="Times New Roman"/>
              </w:rPr>
              <w:t xml:space="preserve">Ekran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SpiderVision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dynamiczne przedstawianie wszystkich parametrów ciągłych, dowolny wybór od 3 do siedmiu ilości ramion pająka oraz wyświetlanych parametrów, diagram wyświetlany w kolorze zielonym do czasu, aż wyświetlane parametry pozostają w zakresie wartości normalnych lub docelowych, diagram wyświetlany w kolorze żółtym, gdy jeden z wyświetlanych parametrów wykracza poza zakres wartości normalnych lub docelowych, diagram wyświetlany w kolorze czerwonym, gdy dwa lub więcej z wyświetlanych parametrów wykracza poza zakres wartości normalnych lub docelowych. Obszary jaśniejsze podkreślają normalne lub docelowe wartości dla danego parametru.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1AA3" w14:textId="77777777" w:rsidR="008D2F38" w:rsidRDefault="008D2F38" w:rsidP="008D2F3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A9217" w14:textId="77777777" w:rsidR="008D2F38" w:rsidRDefault="008D2F38" w:rsidP="00EB04A4">
            <w:pPr>
              <w:ind w:right="115"/>
              <w:jc w:val="center"/>
            </w:pPr>
          </w:p>
        </w:tc>
      </w:tr>
      <w:tr w:rsidR="008D2F38" w14:paraId="375BD909" w14:textId="77777777" w:rsidTr="00EB04A4">
        <w:trPr>
          <w:trHeight w:val="92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17DF" w14:textId="77777777" w:rsidR="008D2F38" w:rsidRDefault="008D2F38" w:rsidP="008D2F38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e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9F2E" w14:textId="77777777" w:rsidR="008D2F38" w:rsidRDefault="008D2F38" w:rsidP="00D56739">
            <w:pPr>
              <w:ind w:right="119"/>
            </w:pPr>
            <w:r>
              <w:rPr>
                <w:rFonts w:ascii="Times New Roman" w:eastAsia="Times New Roman" w:hAnsi="Times New Roman" w:cs="Times New Roman"/>
              </w:rPr>
              <w:t xml:space="preserve">Ekran profile wyświetlanie mierzonych parametry w zależności od ich pozycji względem podświetlonego normalnego / docelowego zakresu wartości.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16108" w14:textId="77777777" w:rsidR="008D2F38" w:rsidRDefault="008D2F38" w:rsidP="008D2F3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44806" w14:textId="77777777" w:rsidR="008D2F38" w:rsidRDefault="008D2F38" w:rsidP="00EB04A4">
            <w:pPr>
              <w:ind w:right="119"/>
              <w:jc w:val="center"/>
            </w:pPr>
          </w:p>
        </w:tc>
      </w:tr>
      <w:tr w:rsidR="008D2F38" w14:paraId="04572859" w14:textId="77777777" w:rsidTr="00EB04A4">
        <w:trPr>
          <w:trHeight w:val="147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F35A" w14:textId="77777777" w:rsidR="008D2F38" w:rsidRDefault="008D2F38" w:rsidP="008D2F38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f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AFAB" w14:textId="77777777" w:rsidR="008D2F38" w:rsidRDefault="008D2F38" w:rsidP="00D56739">
            <w:r>
              <w:rPr>
                <w:rFonts w:ascii="Times New Roman" w:eastAsia="Times New Roman" w:hAnsi="Times New Roman" w:cs="Times New Roman"/>
              </w:rPr>
              <w:t xml:space="preserve">Ekran trendy graficzne możliwość wyświetlania dwóch krzywych trendu w jednym oknie trendu. Zakres czasowy trendu 15 min/30 min/1 godz./3 godz./6 godz./12 godz./24 godz./2 dni/3 dni/6dni/12 dni. Możliwość dowolnej konfiguracji parametrów wyświetlanych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0326" w14:textId="77777777" w:rsidR="008D2F38" w:rsidRDefault="008D2F38" w:rsidP="008D2F3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E7BFC" w14:textId="77777777" w:rsidR="008D2F38" w:rsidRDefault="008D2F38" w:rsidP="00EB04A4">
            <w:pPr>
              <w:jc w:val="center"/>
            </w:pPr>
          </w:p>
        </w:tc>
      </w:tr>
      <w:tr w:rsidR="008D2F38" w14:paraId="28057B40" w14:textId="77777777" w:rsidTr="00EB04A4">
        <w:trPr>
          <w:trHeight w:val="186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A1D8" w14:textId="77777777" w:rsidR="008D2F38" w:rsidRDefault="008D2F38" w:rsidP="008D2F3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g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A831" w14:textId="77777777" w:rsidR="008D2F38" w:rsidRDefault="008D2F38" w:rsidP="00FC7151">
            <w:pPr>
              <w:spacing w:after="112"/>
            </w:pPr>
            <w:r>
              <w:rPr>
                <w:rFonts w:ascii="Times New Roman" w:eastAsia="Times New Roman" w:hAnsi="Times New Roman" w:cs="Times New Roman"/>
              </w:rPr>
              <w:t xml:space="preserve">Ekran pomocy,  </w:t>
            </w:r>
          </w:p>
          <w:p w14:paraId="06C56002" w14:textId="77777777" w:rsidR="008D2F38" w:rsidRDefault="008D2F38" w:rsidP="00FC7151">
            <w:pPr>
              <w:numPr>
                <w:ilvl w:val="0"/>
                <w:numId w:val="5"/>
              </w:numPr>
              <w:spacing w:line="252" w:lineRule="auto"/>
            </w:pPr>
            <w:r>
              <w:rPr>
                <w:rFonts w:ascii="Times New Roman" w:eastAsia="Times New Roman" w:hAnsi="Times New Roman" w:cs="Times New Roman"/>
              </w:rPr>
              <w:t xml:space="preserve">informacja o podłączeniu, opisane kable i podłączenia cewnika między pacjentem i monitorem oraz jego modułami, dla każdej technologii pomiaru wyświetlony widok połączeń. </w:t>
            </w:r>
          </w:p>
          <w:p w14:paraId="5D00D81C" w14:textId="77777777" w:rsidR="00FC7151" w:rsidRPr="00FC7151" w:rsidRDefault="008D2F38" w:rsidP="00FC7151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informacja o parametrach szczegółowe informacje tekstowe dotyczące wszystkich mierzonych parametrów z </w:t>
            </w:r>
            <w:r w:rsidR="00FC7151" w:rsidRPr="00FC7151">
              <w:rPr>
                <w:rFonts w:ascii="Times New Roman" w:eastAsia="Times New Roman" w:hAnsi="Times New Roman" w:cs="Times New Roman"/>
              </w:rPr>
              <w:t xml:space="preserve">uwzględnieniem grup parametrów: wydajność, obciążenie wstępne, obciążenie następcze, kurczliwość, funkcja organów,  </w:t>
            </w:r>
          </w:p>
          <w:p w14:paraId="046F8A89" w14:textId="77777777" w:rsidR="00FC7151" w:rsidRPr="00FC7151" w:rsidRDefault="00FC7151" w:rsidP="00FC7151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FC7151">
              <w:rPr>
                <w:rFonts w:ascii="Times New Roman" w:eastAsia="Times New Roman" w:hAnsi="Times New Roman" w:cs="Times New Roman"/>
              </w:rPr>
              <w:t xml:space="preserve">model fizjologiczny przegląd ogólny  parametrów, ich zależności i relacji, jak również możliwych opcji leczenia. </w:t>
            </w:r>
          </w:p>
          <w:p w14:paraId="46224D83" w14:textId="77777777" w:rsidR="008D2F38" w:rsidRDefault="00FC7151" w:rsidP="00FC7151">
            <w:pPr>
              <w:numPr>
                <w:ilvl w:val="0"/>
                <w:numId w:val="5"/>
              </w:numPr>
            </w:pPr>
            <w:r w:rsidRPr="00FC7151">
              <w:rPr>
                <w:rFonts w:ascii="Times New Roman" w:eastAsia="Times New Roman" w:hAnsi="Times New Roman" w:cs="Times New Roman"/>
              </w:rPr>
              <w:t>model decyzyjny, zawiera informacje o różnych algorytmach leczenia ukierunkowanego na cel, które opisano dla praktyki klinicznej i opublikowano w literaturze medycznej.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466B8" w14:textId="77777777" w:rsidR="008D2F38" w:rsidRDefault="008D2F38" w:rsidP="008D2F3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694D" w14:textId="77777777" w:rsidR="008D2F38" w:rsidRDefault="008D2F38" w:rsidP="00EB04A4">
            <w:pPr>
              <w:spacing w:after="112"/>
              <w:jc w:val="center"/>
            </w:pPr>
          </w:p>
        </w:tc>
      </w:tr>
      <w:tr w:rsidR="008D2F38" w14:paraId="4B96D5D4" w14:textId="77777777" w:rsidTr="00EB04A4">
        <w:trPr>
          <w:trHeight w:val="144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1CA4" w14:textId="77777777" w:rsidR="008D2F38" w:rsidRDefault="008D2F38" w:rsidP="00AD6235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D623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A9FB" w14:textId="77777777" w:rsidR="008D2F38" w:rsidRDefault="008D2F38" w:rsidP="004D529E">
            <w:r>
              <w:rPr>
                <w:rFonts w:ascii="Times New Roman" w:eastAsia="Times New Roman" w:hAnsi="Times New Roman" w:cs="Times New Roman"/>
              </w:rPr>
              <w:t xml:space="preserve">Drukowania danych poprzez   </w:t>
            </w:r>
          </w:p>
          <w:p w14:paraId="1FA6B2F7" w14:textId="77777777" w:rsidR="008D2F38" w:rsidRDefault="008D2F38" w:rsidP="004D529E">
            <w:pPr>
              <w:numPr>
                <w:ilvl w:val="0"/>
                <w:numId w:val="7"/>
              </w:numPr>
              <w:spacing w:after="117"/>
              <w:ind w:left="116" w:hanging="116"/>
            </w:pPr>
            <w:r>
              <w:rPr>
                <w:rFonts w:ascii="Times New Roman" w:eastAsia="Times New Roman" w:hAnsi="Times New Roman" w:cs="Times New Roman"/>
              </w:rPr>
              <w:t xml:space="preserve">wirtualne drukowanie z portu USB </w:t>
            </w:r>
          </w:p>
          <w:p w14:paraId="592C6AB9" w14:textId="77777777" w:rsidR="008D2F38" w:rsidRDefault="008D2F38" w:rsidP="004D529E">
            <w:pPr>
              <w:numPr>
                <w:ilvl w:val="0"/>
                <w:numId w:val="7"/>
              </w:numPr>
              <w:spacing w:after="105"/>
              <w:ind w:left="116" w:hanging="116"/>
            </w:pPr>
            <w:r>
              <w:rPr>
                <w:rFonts w:ascii="Times New Roman" w:eastAsia="Times New Roman" w:hAnsi="Times New Roman" w:cs="Times New Roman"/>
              </w:rPr>
              <w:t xml:space="preserve">drukowanie poprzez sieć </w:t>
            </w:r>
          </w:p>
          <w:p w14:paraId="18070F81" w14:textId="77777777" w:rsidR="008D2F38" w:rsidRDefault="008D2F38" w:rsidP="004D529E">
            <w:pPr>
              <w:numPr>
                <w:ilvl w:val="0"/>
                <w:numId w:val="7"/>
              </w:numPr>
              <w:ind w:left="116" w:hanging="116"/>
            </w:pPr>
            <w:r>
              <w:rPr>
                <w:rFonts w:ascii="Times New Roman" w:eastAsia="Times New Roman" w:hAnsi="Times New Roman" w:cs="Times New Roman"/>
              </w:rPr>
              <w:t xml:space="preserve">drukowanie lokalne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A8899" w14:textId="77777777" w:rsidR="008D2F38" w:rsidRDefault="008D2F38" w:rsidP="008D2F3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75362" w14:textId="77777777" w:rsidR="008D2F38" w:rsidRDefault="008D2F38" w:rsidP="00EB04A4">
            <w:pPr>
              <w:jc w:val="center"/>
            </w:pPr>
          </w:p>
        </w:tc>
      </w:tr>
      <w:tr w:rsidR="008D2F38" w14:paraId="28613674" w14:textId="77777777" w:rsidTr="00EB04A4">
        <w:trPr>
          <w:trHeight w:val="39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61056" w14:textId="77777777" w:rsidR="008D2F38" w:rsidRDefault="00AD6235" w:rsidP="008D2F38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8D2F3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A9C8" w14:textId="77777777" w:rsidR="008D2F38" w:rsidRDefault="008D2F38" w:rsidP="004D529E">
            <w:r>
              <w:rPr>
                <w:rFonts w:ascii="Times New Roman" w:eastAsia="Times New Roman" w:hAnsi="Times New Roman" w:cs="Times New Roman"/>
              </w:rPr>
              <w:t xml:space="preserve">Możliwość ustawienia wartości normalnych i docelowych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71EEC" w14:textId="77777777" w:rsidR="008D2F38" w:rsidRDefault="008D2F38" w:rsidP="008D2F3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FF3A" w14:textId="77777777" w:rsidR="008D2F38" w:rsidRDefault="008D2F38" w:rsidP="00EB04A4">
            <w:pPr>
              <w:jc w:val="center"/>
            </w:pPr>
          </w:p>
        </w:tc>
      </w:tr>
      <w:tr w:rsidR="008D2F38" w14:paraId="37F25D0C" w14:textId="77777777" w:rsidTr="00EB04A4">
        <w:trPr>
          <w:trHeight w:val="92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C693" w14:textId="77777777" w:rsidR="008D2F38" w:rsidRDefault="00AD6235" w:rsidP="008D2F38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8D2F3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C55A" w14:textId="77777777" w:rsidR="008D2F38" w:rsidRDefault="008D2F38" w:rsidP="004D529E">
            <w:pPr>
              <w:ind w:right="28"/>
            </w:pPr>
            <w:r>
              <w:rPr>
                <w:rFonts w:ascii="Times New Roman" w:eastAsia="Times New Roman" w:hAnsi="Times New Roman" w:cs="Times New Roman"/>
              </w:rPr>
              <w:t xml:space="preserve">Możliwości transmisji danych z wykorzystaniem LAN do podłączania sieciowych drukarek i urządzeń przesyłania danych.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E044" w14:textId="77777777" w:rsidR="008D2F38" w:rsidRDefault="008D2F38" w:rsidP="008D2F3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370FD" w14:textId="77777777" w:rsidR="008D2F38" w:rsidRDefault="008D2F38" w:rsidP="00EB04A4">
            <w:pPr>
              <w:ind w:right="28"/>
              <w:jc w:val="center"/>
            </w:pPr>
          </w:p>
        </w:tc>
      </w:tr>
      <w:tr w:rsidR="008D2F38" w14:paraId="7148ED1A" w14:textId="77777777" w:rsidTr="00EB04A4">
        <w:trPr>
          <w:trHeight w:val="120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659B" w14:textId="77777777" w:rsidR="008D2F38" w:rsidRDefault="00AD6235" w:rsidP="008D2F38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8D2F3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D9C0" w14:textId="77777777" w:rsidR="008D2F38" w:rsidRDefault="008D2F38" w:rsidP="004D529E">
            <w:r>
              <w:rPr>
                <w:rFonts w:ascii="Times New Roman" w:eastAsia="Times New Roman" w:hAnsi="Times New Roman" w:cs="Times New Roman"/>
              </w:rPr>
              <w:t xml:space="preserve">Czujnik do pomiaru rzutu serca z analizy kształtu fali ciśnienia tętniczego kompatybilny ze stosowanym na oddziale przetwornikiem do pomiaru inwazyjnego ciśnienia tętniczego krwi ( 1 opakowanie handlowe: 5 sztuk)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490E9" w14:textId="77777777" w:rsidR="008D2F38" w:rsidRDefault="008D2F38" w:rsidP="008D2F3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825A4" w14:textId="77777777" w:rsidR="008D2F38" w:rsidRDefault="008D2F38" w:rsidP="00EB04A4">
            <w:pPr>
              <w:jc w:val="center"/>
            </w:pPr>
          </w:p>
        </w:tc>
      </w:tr>
      <w:tr w:rsidR="008D2F38" w14:paraId="0DC64C22" w14:textId="77777777" w:rsidTr="00EB04A4">
        <w:trPr>
          <w:trHeight w:val="39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BCE733" w14:textId="77777777" w:rsidR="008D2F38" w:rsidRDefault="00AD6235" w:rsidP="008D2F38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8D2F3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409C" w14:textId="77777777" w:rsidR="008D2F38" w:rsidRDefault="008D2F38" w:rsidP="004D529E">
            <w:r>
              <w:rPr>
                <w:rFonts w:ascii="Times New Roman" w:eastAsia="Times New Roman" w:hAnsi="Times New Roman" w:cs="Times New Roman"/>
              </w:rPr>
              <w:t xml:space="preserve">Menu w języku polskim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532C" w14:textId="77777777" w:rsidR="008D2F38" w:rsidRDefault="008D2F38" w:rsidP="008D2F3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A928" w14:textId="77777777" w:rsidR="008D2F38" w:rsidRDefault="008D2F38" w:rsidP="00EB04A4">
            <w:pPr>
              <w:jc w:val="center"/>
            </w:pPr>
          </w:p>
        </w:tc>
      </w:tr>
      <w:tr w:rsidR="008D2F38" w14:paraId="3F381D87" w14:textId="77777777" w:rsidTr="00EB04A4">
        <w:trPr>
          <w:trHeight w:val="39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37DB6" w14:textId="77777777" w:rsidR="008D2F38" w:rsidRDefault="00AD6235" w:rsidP="008D2F38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8D2F3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DA5BEE" w14:textId="77777777" w:rsidR="008D2F38" w:rsidRDefault="008D2F38" w:rsidP="008D2F38">
            <w:r>
              <w:rPr>
                <w:rFonts w:ascii="Times New Roman" w:eastAsia="Times New Roman" w:hAnsi="Times New Roman" w:cs="Times New Roman"/>
              </w:rPr>
              <w:t xml:space="preserve">Waga urządzenia nie więcej niż 3 kg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55E67" w14:textId="77777777" w:rsidR="008D2F38" w:rsidRDefault="008D2F38" w:rsidP="008D2F3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35DF3" w14:textId="77777777" w:rsidR="008D2F38" w:rsidRDefault="008D2F38" w:rsidP="00EB04A4">
            <w:pPr>
              <w:jc w:val="center"/>
            </w:pPr>
          </w:p>
        </w:tc>
      </w:tr>
      <w:tr w:rsidR="008D2F38" w14:paraId="13030D08" w14:textId="77777777" w:rsidTr="00EB04A4">
        <w:trPr>
          <w:trHeight w:val="39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D18D65" w14:textId="77777777" w:rsidR="008D2F38" w:rsidRDefault="00AD6235" w:rsidP="008D2F38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8D2F3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2A553A" w14:textId="77777777" w:rsidR="008D2F38" w:rsidRDefault="008D2F38" w:rsidP="008D2F38">
            <w:r>
              <w:rPr>
                <w:rFonts w:ascii="Times New Roman" w:eastAsia="Times New Roman" w:hAnsi="Times New Roman" w:cs="Times New Roman"/>
              </w:rPr>
              <w:t xml:space="preserve">Podstawa jezdna do monitora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5D60" w14:textId="77777777" w:rsidR="008D2F38" w:rsidRDefault="008D2F38" w:rsidP="008D2F3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EF467" w14:textId="77777777" w:rsidR="008D2F38" w:rsidRDefault="008D2F38" w:rsidP="00EB04A4">
            <w:pPr>
              <w:jc w:val="center"/>
            </w:pPr>
          </w:p>
        </w:tc>
      </w:tr>
      <w:tr w:rsidR="008D2F38" w14:paraId="6EB68E96" w14:textId="77777777" w:rsidTr="00EB04A4">
        <w:trPr>
          <w:trHeight w:val="39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797E3" w14:textId="77777777" w:rsidR="008D2F38" w:rsidRDefault="00AD6235" w:rsidP="008D2F38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8D2F3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AD134" w14:textId="77777777" w:rsidR="008D2F38" w:rsidRDefault="008D2F38" w:rsidP="008D2F38">
            <w:r>
              <w:rPr>
                <w:rFonts w:ascii="Times New Roman" w:eastAsia="Times New Roman" w:hAnsi="Times New Roman" w:cs="Times New Roman"/>
              </w:rPr>
              <w:t xml:space="preserve">Dopuszczenie do obrotu na terenie Polski, certyfikat CE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8ADE8" w14:textId="77777777" w:rsidR="008D2F38" w:rsidRDefault="008D2F38" w:rsidP="008D2F3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453FB" w14:textId="77777777" w:rsidR="008D2F38" w:rsidRDefault="008D2F38" w:rsidP="00EB04A4">
            <w:pPr>
              <w:jc w:val="center"/>
            </w:pPr>
          </w:p>
        </w:tc>
      </w:tr>
      <w:tr w:rsidR="008D2F38" w14:paraId="12893BBA" w14:textId="77777777" w:rsidTr="00EB04A4">
        <w:trPr>
          <w:trHeight w:val="39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88F87E" w14:textId="77777777" w:rsidR="008D2F38" w:rsidRDefault="00AD6235" w:rsidP="008D2F38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8D2F3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B1D81B" w14:textId="77777777" w:rsidR="008D2F38" w:rsidRDefault="008D2F38" w:rsidP="008D2F38">
            <w:r>
              <w:rPr>
                <w:rFonts w:ascii="Times New Roman" w:eastAsia="Times New Roman" w:hAnsi="Times New Roman" w:cs="Times New Roman"/>
              </w:rPr>
              <w:t xml:space="preserve">Karta gwarancyjna w języku polskim.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C7807" w14:textId="77777777" w:rsidR="008D2F38" w:rsidRDefault="008D2F38" w:rsidP="008D2F3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54D73" w14:textId="77777777" w:rsidR="008D2F38" w:rsidRDefault="008D2F38" w:rsidP="00EB04A4">
            <w:pPr>
              <w:jc w:val="center"/>
            </w:pPr>
          </w:p>
        </w:tc>
      </w:tr>
      <w:tr w:rsidR="008D2F38" w14:paraId="0178B254" w14:textId="77777777" w:rsidTr="00EB04A4">
        <w:trPr>
          <w:trHeight w:val="39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C5074B" w14:textId="77777777" w:rsidR="008D2F38" w:rsidRDefault="00AD6235" w:rsidP="008D2F38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8D2F3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B58EFA" w14:textId="77777777" w:rsidR="008D2F38" w:rsidRDefault="008D2F38" w:rsidP="008D2F38">
            <w:r>
              <w:rPr>
                <w:rFonts w:ascii="Times New Roman" w:eastAsia="Times New Roman" w:hAnsi="Times New Roman" w:cs="Times New Roman"/>
              </w:rPr>
              <w:t xml:space="preserve">Instrukcja obsługi w języku polskim.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F8A4" w14:textId="77777777" w:rsidR="008D2F38" w:rsidRDefault="008D2F38" w:rsidP="008D2F3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19406" w14:textId="77777777" w:rsidR="008D2F38" w:rsidRDefault="008D2F38" w:rsidP="00EB04A4">
            <w:pPr>
              <w:jc w:val="center"/>
            </w:pPr>
          </w:p>
        </w:tc>
      </w:tr>
      <w:tr w:rsidR="008D2F38" w14:paraId="2800237D" w14:textId="77777777" w:rsidTr="00EB04A4">
        <w:trPr>
          <w:trHeight w:val="6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F5A5" w14:textId="77777777" w:rsidR="008D2F38" w:rsidRDefault="00AD6235" w:rsidP="008D2F38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8D2F3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661A" w14:textId="77777777" w:rsidR="008D2F38" w:rsidRDefault="008D2F38" w:rsidP="00382579">
            <w:r>
              <w:rPr>
                <w:rFonts w:ascii="Times New Roman" w:eastAsia="Times New Roman" w:hAnsi="Times New Roman" w:cs="Times New Roman"/>
              </w:rPr>
              <w:t xml:space="preserve">Gwarancja zapewniona przez autoryzowanego dystrybutora producenta min. 24 miesięcy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ACA66" w14:textId="77777777" w:rsidR="008D2F38" w:rsidRDefault="008D2F38" w:rsidP="008D2F3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39035" w14:textId="77777777" w:rsidR="008D2F38" w:rsidRDefault="008D2F38" w:rsidP="00EB04A4">
            <w:pPr>
              <w:jc w:val="center"/>
            </w:pPr>
          </w:p>
        </w:tc>
      </w:tr>
    </w:tbl>
    <w:p w14:paraId="285E2AE8" w14:textId="77777777" w:rsidR="003D6CAA" w:rsidRDefault="00A35854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3D6CAA">
      <w:footerReference w:type="even" r:id="rId8"/>
      <w:footerReference w:type="default" r:id="rId9"/>
      <w:footerReference w:type="first" r:id="rId10"/>
      <w:pgSz w:w="11906" w:h="16838"/>
      <w:pgMar w:top="1421" w:right="1414" w:bottom="165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D96F" w14:textId="77777777" w:rsidR="008806C4" w:rsidRDefault="008806C4">
      <w:pPr>
        <w:spacing w:after="0" w:line="240" w:lineRule="auto"/>
      </w:pPr>
      <w:r>
        <w:separator/>
      </w:r>
    </w:p>
  </w:endnote>
  <w:endnote w:type="continuationSeparator" w:id="0">
    <w:p w14:paraId="072F427D" w14:textId="77777777" w:rsidR="008806C4" w:rsidRDefault="0088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205E" w14:textId="77777777" w:rsidR="003D6CAA" w:rsidRDefault="00A35854">
    <w:pPr>
      <w:spacing w:after="0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F497D"/>
        <w:sz w:val="24"/>
      </w:rPr>
      <w:t>1</w:t>
    </w:r>
    <w:r>
      <w:rPr>
        <w:rFonts w:ascii="Times New Roman" w:eastAsia="Times New Roman" w:hAnsi="Times New Roman" w:cs="Times New Roman"/>
        <w:color w:val="1F497D"/>
        <w:sz w:val="24"/>
      </w:rPr>
      <w:fldChar w:fldCharType="end"/>
    </w:r>
    <w:r>
      <w:rPr>
        <w:rFonts w:ascii="Times New Roman" w:eastAsia="Times New Roman" w:hAnsi="Times New Roman" w:cs="Times New Roman"/>
        <w:color w:val="1F497D"/>
        <w:sz w:val="24"/>
      </w:rPr>
      <w:t xml:space="preserve"> </w:t>
    </w:r>
  </w:p>
  <w:p w14:paraId="4F6F995A" w14:textId="77777777" w:rsidR="003D6CAA" w:rsidRDefault="00A35854">
    <w:pPr>
      <w:spacing w:after="0"/>
    </w:pPr>
    <w:r>
      <w:rPr>
        <w:rFonts w:ascii="Times New Roman" w:eastAsia="Times New Roman" w:hAnsi="Times New Roman" w:cs="Times New Roman"/>
        <w:color w:val="1F497D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17DA" w14:textId="77777777" w:rsidR="003D6CAA" w:rsidRDefault="00A35854">
    <w:pPr>
      <w:spacing w:after="0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6235" w:rsidRPr="00AD6235">
      <w:rPr>
        <w:rFonts w:ascii="Times New Roman" w:eastAsia="Times New Roman" w:hAnsi="Times New Roman" w:cs="Times New Roman"/>
        <w:noProof/>
        <w:color w:val="1F497D"/>
        <w:sz w:val="24"/>
      </w:rPr>
      <w:t>4</w:t>
    </w:r>
    <w:r>
      <w:rPr>
        <w:rFonts w:ascii="Times New Roman" w:eastAsia="Times New Roman" w:hAnsi="Times New Roman" w:cs="Times New Roman"/>
        <w:color w:val="1F497D"/>
        <w:sz w:val="24"/>
      </w:rPr>
      <w:fldChar w:fldCharType="end"/>
    </w:r>
    <w:r>
      <w:rPr>
        <w:rFonts w:ascii="Times New Roman" w:eastAsia="Times New Roman" w:hAnsi="Times New Roman" w:cs="Times New Roman"/>
        <w:color w:val="1F497D"/>
        <w:sz w:val="24"/>
      </w:rPr>
      <w:t xml:space="preserve"> </w:t>
    </w:r>
  </w:p>
  <w:p w14:paraId="31A2DCE3" w14:textId="77777777" w:rsidR="003D6CAA" w:rsidRDefault="00A35854">
    <w:pPr>
      <w:spacing w:after="0"/>
    </w:pPr>
    <w:r>
      <w:rPr>
        <w:rFonts w:ascii="Times New Roman" w:eastAsia="Times New Roman" w:hAnsi="Times New Roman" w:cs="Times New Roman"/>
        <w:color w:val="1F497D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B988" w14:textId="77777777" w:rsidR="003D6CAA" w:rsidRDefault="00A35854">
    <w:pPr>
      <w:spacing w:after="0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F497D"/>
        <w:sz w:val="24"/>
      </w:rPr>
      <w:t>1</w:t>
    </w:r>
    <w:r>
      <w:rPr>
        <w:rFonts w:ascii="Times New Roman" w:eastAsia="Times New Roman" w:hAnsi="Times New Roman" w:cs="Times New Roman"/>
        <w:color w:val="1F497D"/>
        <w:sz w:val="24"/>
      </w:rPr>
      <w:fldChar w:fldCharType="end"/>
    </w:r>
    <w:r>
      <w:rPr>
        <w:rFonts w:ascii="Times New Roman" w:eastAsia="Times New Roman" w:hAnsi="Times New Roman" w:cs="Times New Roman"/>
        <w:color w:val="1F497D"/>
        <w:sz w:val="24"/>
      </w:rPr>
      <w:t xml:space="preserve"> </w:t>
    </w:r>
  </w:p>
  <w:p w14:paraId="16487B43" w14:textId="77777777" w:rsidR="003D6CAA" w:rsidRDefault="00A35854">
    <w:pPr>
      <w:spacing w:after="0"/>
    </w:pPr>
    <w:r>
      <w:rPr>
        <w:rFonts w:ascii="Times New Roman" w:eastAsia="Times New Roman" w:hAnsi="Times New Roman" w:cs="Times New Roman"/>
        <w:color w:val="1F497D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79E95" w14:textId="77777777" w:rsidR="008806C4" w:rsidRDefault="008806C4">
      <w:pPr>
        <w:spacing w:after="0" w:line="240" w:lineRule="auto"/>
      </w:pPr>
      <w:r>
        <w:separator/>
      </w:r>
    </w:p>
  </w:footnote>
  <w:footnote w:type="continuationSeparator" w:id="0">
    <w:p w14:paraId="029B8F42" w14:textId="77777777" w:rsidR="008806C4" w:rsidRDefault="00880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2FF1"/>
    <w:multiLevelType w:val="hybridMultilevel"/>
    <w:tmpl w:val="BAACE480"/>
    <w:lvl w:ilvl="0" w:tplc="881CFA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C46F70">
      <w:start w:val="1"/>
      <w:numFmt w:val="bullet"/>
      <w:lvlText w:val="o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0A03C2">
      <w:start w:val="1"/>
      <w:numFmt w:val="bullet"/>
      <w:lvlText w:val="▪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38AF16">
      <w:start w:val="1"/>
      <w:numFmt w:val="bullet"/>
      <w:lvlText w:val="•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DAC7A6">
      <w:start w:val="1"/>
      <w:numFmt w:val="bullet"/>
      <w:lvlText w:val="o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482CA">
      <w:start w:val="1"/>
      <w:numFmt w:val="bullet"/>
      <w:lvlText w:val="▪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E6BDF4">
      <w:start w:val="1"/>
      <w:numFmt w:val="bullet"/>
      <w:lvlText w:val="•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6FE42">
      <w:start w:val="1"/>
      <w:numFmt w:val="bullet"/>
      <w:lvlText w:val="o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0650C8">
      <w:start w:val="1"/>
      <w:numFmt w:val="bullet"/>
      <w:lvlText w:val="▪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C9424E"/>
    <w:multiLevelType w:val="hybridMultilevel"/>
    <w:tmpl w:val="B6E06732"/>
    <w:lvl w:ilvl="0" w:tplc="71D20E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D65C3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A4664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FE272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8E629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A6785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E08016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1A9C7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D0BA2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D5285C"/>
    <w:multiLevelType w:val="hybridMultilevel"/>
    <w:tmpl w:val="13C8495E"/>
    <w:lvl w:ilvl="0" w:tplc="12EE7A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EEE30A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F484A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8ADA6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3891B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B6582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6257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A008F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50B36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496CB3"/>
    <w:multiLevelType w:val="hybridMultilevel"/>
    <w:tmpl w:val="BF989DAE"/>
    <w:lvl w:ilvl="0" w:tplc="A65467C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E47E3E">
      <w:start w:val="1"/>
      <w:numFmt w:val="bullet"/>
      <w:lvlText w:val="o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004E34">
      <w:start w:val="1"/>
      <w:numFmt w:val="bullet"/>
      <w:lvlText w:val="▪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A6B778">
      <w:start w:val="1"/>
      <w:numFmt w:val="bullet"/>
      <w:lvlText w:val="•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04BE4E">
      <w:start w:val="1"/>
      <w:numFmt w:val="bullet"/>
      <w:lvlText w:val="o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AC7754">
      <w:start w:val="1"/>
      <w:numFmt w:val="bullet"/>
      <w:lvlText w:val="▪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36822E">
      <w:start w:val="1"/>
      <w:numFmt w:val="bullet"/>
      <w:lvlText w:val="•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4C7442">
      <w:start w:val="1"/>
      <w:numFmt w:val="bullet"/>
      <w:lvlText w:val="o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2A8D9C">
      <w:start w:val="1"/>
      <w:numFmt w:val="bullet"/>
      <w:lvlText w:val="▪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B6525F"/>
    <w:multiLevelType w:val="hybridMultilevel"/>
    <w:tmpl w:val="953CB60A"/>
    <w:lvl w:ilvl="0" w:tplc="277E78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76A4C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D6F8D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88170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2E942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E443A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7A8FD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CCE88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C279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5422C3"/>
    <w:multiLevelType w:val="hybridMultilevel"/>
    <w:tmpl w:val="BC5A75F6"/>
    <w:lvl w:ilvl="0" w:tplc="F6967240">
      <w:start w:val="1"/>
      <w:numFmt w:val="bullet"/>
      <w:lvlText w:val="-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A64B8A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EA9FA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003FA0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0E9AF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8052E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CA893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ACF15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AEB15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E32229"/>
    <w:multiLevelType w:val="hybridMultilevel"/>
    <w:tmpl w:val="93546800"/>
    <w:lvl w:ilvl="0" w:tplc="31F00F3E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4878">
      <w:start w:val="1"/>
      <w:numFmt w:val="bullet"/>
      <w:lvlText w:val="o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846F42">
      <w:start w:val="1"/>
      <w:numFmt w:val="bullet"/>
      <w:lvlText w:val="▪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EEC5CE">
      <w:start w:val="1"/>
      <w:numFmt w:val="bullet"/>
      <w:lvlText w:val="•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F854C6">
      <w:start w:val="1"/>
      <w:numFmt w:val="bullet"/>
      <w:lvlText w:val="o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4EDA58">
      <w:start w:val="1"/>
      <w:numFmt w:val="bullet"/>
      <w:lvlText w:val="▪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08F1A6">
      <w:start w:val="1"/>
      <w:numFmt w:val="bullet"/>
      <w:lvlText w:val="•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C00C8">
      <w:start w:val="1"/>
      <w:numFmt w:val="bullet"/>
      <w:lvlText w:val="o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F0D134">
      <w:start w:val="1"/>
      <w:numFmt w:val="bullet"/>
      <w:lvlText w:val="▪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9139864">
    <w:abstractNumId w:val="6"/>
  </w:num>
  <w:num w:numId="2" w16cid:durableId="686522027">
    <w:abstractNumId w:val="1"/>
  </w:num>
  <w:num w:numId="3" w16cid:durableId="358816078">
    <w:abstractNumId w:val="3"/>
  </w:num>
  <w:num w:numId="4" w16cid:durableId="315304292">
    <w:abstractNumId w:val="0"/>
  </w:num>
  <w:num w:numId="5" w16cid:durableId="826628946">
    <w:abstractNumId w:val="2"/>
  </w:num>
  <w:num w:numId="6" w16cid:durableId="1324823008">
    <w:abstractNumId w:val="4"/>
  </w:num>
  <w:num w:numId="7" w16cid:durableId="1816727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AA"/>
    <w:rsid w:val="00163D88"/>
    <w:rsid w:val="001E6DBF"/>
    <w:rsid w:val="001F077C"/>
    <w:rsid w:val="001F5B9D"/>
    <w:rsid w:val="002A14C1"/>
    <w:rsid w:val="00347C50"/>
    <w:rsid w:val="00382579"/>
    <w:rsid w:val="0039675C"/>
    <w:rsid w:val="003D6CAA"/>
    <w:rsid w:val="004D529E"/>
    <w:rsid w:val="0054797F"/>
    <w:rsid w:val="0064323E"/>
    <w:rsid w:val="00646755"/>
    <w:rsid w:val="006D5E33"/>
    <w:rsid w:val="006E2C95"/>
    <w:rsid w:val="00704C2E"/>
    <w:rsid w:val="0084477E"/>
    <w:rsid w:val="008806C4"/>
    <w:rsid w:val="008D2F38"/>
    <w:rsid w:val="009B40C2"/>
    <w:rsid w:val="00A04F4B"/>
    <w:rsid w:val="00A12305"/>
    <w:rsid w:val="00A35854"/>
    <w:rsid w:val="00A5200E"/>
    <w:rsid w:val="00AD6235"/>
    <w:rsid w:val="00B11598"/>
    <w:rsid w:val="00BB4D2B"/>
    <w:rsid w:val="00C25331"/>
    <w:rsid w:val="00CE5A20"/>
    <w:rsid w:val="00D06D9E"/>
    <w:rsid w:val="00D56739"/>
    <w:rsid w:val="00DB1F3F"/>
    <w:rsid w:val="00DD7436"/>
    <w:rsid w:val="00E74EE1"/>
    <w:rsid w:val="00EB04A4"/>
    <w:rsid w:val="00F04583"/>
    <w:rsid w:val="00FC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F65F"/>
  <w15:docId w15:val="{789B09EE-59A8-4A06-A28C-6074AF38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9BD27-FADB-48F4-8B54-3B657872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ZaBcznik_2_Pakiet_5 - specyfikacja</vt:lpstr>
    </vt:vector>
  </TitlesOfParts>
  <Company>Getinge AB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ZaBcznik_2_Pakiet_5 - specyfikacja</dc:title>
  <dc:subject/>
  <dc:creator>lukpud</dc:creator>
  <cp:keywords/>
  <cp:lastModifiedBy>Łukasz Pudlik</cp:lastModifiedBy>
  <cp:revision>2</cp:revision>
  <dcterms:created xsi:type="dcterms:W3CDTF">2022-08-01T10:58:00Z</dcterms:created>
  <dcterms:modified xsi:type="dcterms:W3CDTF">2022-08-01T10:58:00Z</dcterms:modified>
</cp:coreProperties>
</file>