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7D" w:rsidRPr="00DF3AF9" w:rsidRDefault="00B0267D" w:rsidP="00B0267D">
      <w:pPr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 </w:t>
      </w:r>
      <w:r w:rsidRPr="00DF3AF9">
        <w:rPr>
          <w:b/>
        </w:rPr>
        <w:t xml:space="preserve">Pompa infuzyjna – szt.10, stacja dokująca – szt.2.  </w:t>
      </w:r>
    </w:p>
    <w:p w:rsidR="00B0267D" w:rsidRPr="00DF3AF9" w:rsidRDefault="00B0267D" w:rsidP="00B0267D">
      <w:pPr>
        <w:pStyle w:val="Akapitzlist"/>
        <w:numPr>
          <w:ilvl w:val="0"/>
          <w:numId w:val="1"/>
        </w:numPr>
        <w:ind w:left="1701" w:hanging="567"/>
      </w:pPr>
      <w:r w:rsidRPr="00DF3AF9">
        <w:t>Nazwa sprzętu:</w:t>
      </w:r>
    </w:p>
    <w:p w:rsidR="00B0267D" w:rsidRPr="00DF3AF9" w:rsidRDefault="00B0267D" w:rsidP="00B0267D">
      <w:pPr>
        <w:pStyle w:val="Akapitzlist"/>
        <w:numPr>
          <w:ilvl w:val="0"/>
          <w:numId w:val="1"/>
        </w:numPr>
        <w:ind w:left="1701" w:hanging="567"/>
      </w:pPr>
      <w:r w:rsidRPr="00DF3AF9">
        <w:t>Model:</w:t>
      </w:r>
    </w:p>
    <w:p w:rsidR="00B0267D" w:rsidRPr="00DF3AF9" w:rsidRDefault="00B0267D" w:rsidP="00B0267D">
      <w:pPr>
        <w:pStyle w:val="Akapitzlist"/>
        <w:numPr>
          <w:ilvl w:val="0"/>
          <w:numId w:val="1"/>
        </w:numPr>
        <w:ind w:left="1701" w:hanging="567"/>
      </w:pPr>
      <w:r w:rsidRPr="00DF3AF9">
        <w:t>Typ:</w:t>
      </w:r>
    </w:p>
    <w:p w:rsidR="00B0267D" w:rsidRPr="00DF3AF9" w:rsidRDefault="00B0267D" w:rsidP="00B0267D">
      <w:pPr>
        <w:pStyle w:val="Akapitzlist"/>
        <w:numPr>
          <w:ilvl w:val="0"/>
          <w:numId w:val="1"/>
        </w:numPr>
        <w:ind w:left="1701" w:hanging="567"/>
      </w:pPr>
      <w:r w:rsidRPr="00DF3AF9">
        <w:t>Rok prod.: nie starszy niż 2020 (sprzęt fabrycznie nowy, nieużywany, nierekondycjonowany)</w:t>
      </w:r>
    </w:p>
    <w:p w:rsidR="00B0267D" w:rsidRDefault="00B0267D" w:rsidP="00B0267D">
      <w:pPr>
        <w:pStyle w:val="Akapitzlist"/>
        <w:numPr>
          <w:ilvl w:val="0"/>
          <w:numId w:val="1"/>
        </w:numPr>
        <w:ind w:left="1701" w:hanging="567"/>
      </w:pPr>
      <w:r w:rsidRPr="00DF3AF9">
        <w:t>Producent:</w:t>
      </w:r>
    </w:p>
    <w:p w:rsidR="00B0267D" w:rsidRPr="00DF3AF9" w:rsidRDefault="00B0267D" w:rsidP="00B0267D"/>
    <w:tbl>
      <w:tblPr>
        <w:tblStyle w:val="TableNormal"/>
        <w:tblW w:w="13903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862"/>
        <w:gridCol w:w="8647"/>
        <w:gridCol w:w="1985"/>
        <w:gridCol w:w="2409"/>
      </w:tblGrid>
      <w:tr w:rsidR="00B0267D" w:rsidRPr="00DF3AF9" w:rsidTr="00EA5205">
        <w:trPr>
          <w:trHeight w:hRule="exact" w:val="1097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267D" w:rsidRPr="00DF3AF9" w:rsidRDefault="00B0267D" w:rsidP="00EA5205">
            <w:pPr>
              <w:pStyle w:val="TableParagraph"/>
              <w:spacing w:before="2"/>
              <w:ind w:left="-138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B0267D" w:rsidRPr="00DF3AF9" w:rsidRDefault="00B0267D" w:rsidP="00EA5205">
            <w:pPr>
              <w:pStyle w:val="TableParagraph"/>
              <w:ind w:left="2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hAnsi="Times New Roman" w:cs="Times New Roman"/>
                <w:b/>
                <w:spacing w:val="-1"/>
              </w:rPr>
              <w:t>L.p.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267D" w:rsidRPr="00DF3AF9" w:rsidRDefault="00B0267D" w:rsidP="00EA520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0267D" w:rsidRPr="00DF3AF9" w:rsidRDefault="00B0267D" w:rsidP="00EA5205">
            <w:pPr>
              <w:pStyle w:val="TableParagraph"/>
              <w:ind w:left="14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hAnsi="Times New Roman" w:cs="Times New Roman"/>
                <w:b/>
                <w:spacing w:val="-1"/>
              </w:rPr>
              <w:t>Opis parametru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267D" w:rsidRPr="00DF3AF9" w:rsidRDefault="00B0267D" w:rsidP="00EA5205">
            <w:pPr>
              <w:pStyle w:val="TableParagraph"/>
              <w:spacing w:before="195"/>
              <w:ind w:left="358" w:right="357" w:firstLine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hAnsi="Times New Roman" w:cs="Times New Roman"/>
                <w:b/>
                <w:spacing w:val="21"/>
              </w:rPr>
              <w:t xml:space="preserve">Parametr </w:t>
            </w:r>
            <w:r w:rsidRPr="00DF3AF9">
              <w:rPr>
                <w:rFonts w:ascii="Times New Roman" w:hAnsi="Times New Roman" w:cs="Times New Roman"/>
                <w:b/>
                <w:spacing w:val="-1"/>
              </w:rPr>
              <w:t>graniczny-wymagany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267D" w:rsidRPr="00DF3AF9" w:rsidRDefault="00B0267D" w:rsidP="00EA5205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0267D" w:rsidRPr="00DF3AF9" w:rsidRDefault="00B0267D" w:rsidP="00EA5205">
            <w:pPr>
              <w:pStyle w:val="TableParagraph"/>
              <w:ind w:left="664" w:right="662" w:firstLine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eastAsia="Times New Roman" w:hAnsi="Times New Roman" w:cs="Times New Roman"/>
                <w:b/>
              </w:rPr>
              <w:t>Parametry oferowane</w:t>
            </w:r>
          </w:p>
        </w:tc>
      </w:tr>
    </w:tbl>
    <w:tbl>
      <w:tblPr>
        <w:tblW w:w="13971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54"/>
        <w:gridCol w:w="8647"/>
        <w:gridCol w:w="1985"/>
        <w:gridCol w:w="2409"/>
      </w:tblGrid>
      <w:tr w:rsidR="00B0267D" w:rsidRPr="00DF3AF9" w:rsidTr="00EA5205">
        <w:trPr>
          <w:trHeight w:val="454"/>
        </w:trPr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B026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</w:rPr>
            </w:pPr>
            <w:r w:rsidRPr="00DF3AF9">
              <w:rPr>
                <w:b/>
              </w:rPr>
              <w:t>Pompy infuzyjno-strzykawkowe</w:t>
            </w: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both"/>
            </w:pPr>
            <w:r w:rsidRPr="00DF3AF9">
              <w:rPr>
                <w:color w:val="000000"/>
              </w:rPr>
              <w:t>Pompa strzykawkowa sterowana elektronicznie umożliwiająca współpracę  z systemem centralnego zasilania i zarządzania danymi - udokumentowana działającymi instalacjami.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both"/>
            </w:pPr>
            <w:r w:rsidRPr="00DF3AF9">
              <w:rPr>
                <w:color w:val="000000"/>
              </w:rPr>
              <w:t xml:space="preserve">Pompa strzykawkowa umożliwiająca podaż leków drogą  dożylną, dotętniczą, podskórnie, zewnątrzoponowo i dojelitowo.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rPr>
                <w:color w:val="000000"/>
              </w:rPr>
              <w:t>Minimalna klasa ochronności II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Minimalna klasa ochrony przed wilgocią IP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Strzykawka automatycznie mocowana od przodu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spacing w:line="360" w:lineRule="auto"/>
              <w:jc w:val="both"/>
            </w:pPr>
            <w:r w:rsidRPr="00DF3AF9">
              <w:t>Menu  w języku 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both"/>
            </w:pPr>
            <w:r w:rsidRPr="00DF3AF9">
              <w:rPr>
                <w:color w:val="000000"/>
              </w:rPr>
              <w:t>Możliwość zatrzaskowego mocowania i współpracy ze  stacją dokującą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rPr>
                <w:color w:val="000000"/>
              </w:rPr>
              <w:t xml:space="preserve">Napięcie 11-16 V DC, zasilanie przy użyciu zasilacza zewnętrznego lub Stacji Dokującej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Masa pompy  maks. 1,6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Wymiary maks.  270 x 80 x 180 mm (szer. x wys. x gł.)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r w:rsidRPr="00DF3AF9">
              <w:rPr>
                <w:color w:val="000000"/>
              </w:rPr>
              <w:t>Odłączalny uchwyt do przenoszenia i mocowania i pompy do rur pionowych i poziomych 3 pomp.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Mocowanie do pionowego statywu/rury 3 pomp jednym uchwytem.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Możliwość zasilania 3 pomp  jednym przewodem nie wymagającym dodatkowych elementów.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r w:rsidRPr="00DF3AF9">
              <w:rPr>
                <w:color w:val="000000"/>
              </w:rPr>
              <w:t xml:space="preserve">Podświetlany ekran i przyciski oraz komora strzykawki z możliwością regulacji.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Dokładność mechaniczna &lt;&lt;±0,5%. Dokładność pracy dla skalibrowanych strzykawek  ± 2 % według normy IEC/EN 60601-2-24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Trzy rodzaje bolusa ręczny, z programowaną objętością, z obliczaną prędkością po wprowadzeniu objętości i czasu.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rPr>
                <w:color w:val="000000"/>
              </w:rPr>
              <w:t xml:space="preserve">Mechanizm blokujący tłok zapobiegający samoczynnemu opróżnianiu strzykawki podczas wymiany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Automatyczna funkcja antybolus po okluzji – zabezpieczenie przed podaniem niekontrolowanego bolusa po alarmie okluzji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B0267D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Różne tryby infuzji:  Piggy-Back;  Wzrost-utrzymanie-spadek; programowanie min. 12 cykli o różnych parametrach; podaż okresowa z przerwami; dawka w czasie; kalkulacja prędkości dawki.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spacing w:line="360" w:lineRule="auto"/>
            </w:pPr>
            <w:r w:rsidRPr="00DF3AF9">
              <w:rPr>
                <w:b/>
              </w:rPr>
              <w:t xml:space="preserve">   </w:t>
            </w:r>
            <w:r w:rsidRPr="00DF3AF9">
              <w:rPr>
                <w:bCs/>
              </w:rPr>
              <w:t xml:space="preserve">20. 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Możliwość programowania parametrów infuzji w mg, mcg, U lub mmol,   z uwzględnieniem lub nie masy ciała w odniesieniu do czasu ( np. mg/kg/min; mg/kg/h; mg/kg/24h)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21.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rPr>
                <w:color w:val="00000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22.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Zakres prędkości infuzji min. 0,1 do 999,9 ml/h  Prędkość infuzji w zakresie od 0,1 - 99,99ml/h programowana co 0,01ml/godz.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23.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both"/>
            </w:pPr>
            <w:r w:rsidRPr="00DF3AF9">
              <w:t>Wstępnie wybierana objętość 0,1 – 99,99 ml programowana co 0,01 ml: 100,0 – 999,0 ml programowana co 01 ml; 1000 – 9999 ml programowana co 1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24.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both"/>
            </w:pPr>
            <w:r w:rsidRPr="00DF3AF9">
              <w:t>Prędkości  bolusa min:</w:t>
            </w:r>
          </w:p>
          <w:p w:rsidR="00B0267D" w:rsidRPr="00DF3AF9" w:rsidRDefault="00B0267D" w:rsidP="00EA5205">
            <w:pPr>
              <w:jc w:val="both"/>
            </w:pPr>
            <w:r w:rsidRPr="00DF3AF9">
              <w:t>od 1-150 ml/h dla strzykawki o poj.3m</w:t>
            </w:r>
          </w:p>
          <w:p w:rsidR="00B0267D" w:rsidRPr="00DF3AF9" w:rsidRDefault="00B0267D" w:rsidP="00EA5205">
            <w:pPr>
              <w:jc w:val="both"/>
            </w:pPr>
            <w:r w:rsidRPr="00DF3AF9">
              <w:t>do 1-1800  ml/h dla strzykawki o poj.50/60m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lastRenderedPageBreak/>
              <w:t xml:space="preserve">   25.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r w:rsidRPr="00DF3AF9">
              <w:t>Wstępnie wybierany czas 00:01 – 99:59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26.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Możliwość utworzenia Bazy Leków używanych w infuzjoterapii na terenie szpitala  z możliwością zastosowania do tworzenia Bibliotek Leków na poszczególne oddziały.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F3AF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t xml:space="preserve">Biblioteka Leków zawierająca min. 200   leków z możliwością podzielenia na grupy.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t xml:space="preserve">Leki zawarte w Bibliotece Leków powiązane z parametrami infuzji (limity względne min-max;limity bezwzględne min-max, parametry standardowe), możliwość wyświetlania naprzemiennego nazwy leku i/lub wybranych parametrów infuzji.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t>Funkcja czuwania regulowana w zakresie co najmniej od 15 minut  do 24 godzin.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t>Funkcja KVO z możliwością włączenia i wyłączenia z poziomu menu obsługi pompy.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t>Czujnik zmian ciśnienia w linii - okluzji i  rozłączenia linii bez konieczności stosowania specjalnych drenów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Prezentacja ciągłego pomiaru ciśnienia w linii w formie graficznej.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Ciśnienie alarmu okluzji 9 poziomów od 0.1 do 1.2 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Funkcja programowania objętości do podania (VTBD) 0,1- 9999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both"/>
            </w:pPr>
            <w:r w:rsidRPr="00DF3AF9">
              <w:rPr>
                <w:color w:val="000000"/>
              </w:rPr>
              <w:t>Funkcja programowania czasu infuzji przynajmniej od 1min – 99:59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Możliwość stosowania płynnego przejęcia infuzji leku  przez drugą pompę po skończeniu infuzji w innej pompie.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Możliwość opcjonalnego rozszerzenia oprogramowania pompy o tryb TCI  do podaży Propofolu, Remifentanylu i Sufentanylu.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Możliwość opcjonalnego rozszerzenia oprogramowania pompy o tryb PCA i PCEA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r w:rsidRPr="00DF3AF9">
              <w:rPr>
                <w:color w:val="000000"/>
              </w:rPr>
              <w:t>Dźwiękowy i wizualny system alarmów w tym okluzji, spadku i wzrostu ciśnienia, rozładowanego akumulatora, końca infuzji.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267D" w:rsidRPr="00DF3AF9" w:rsidRDefault="00B0267D" w:rsidP="00EA5205">
            <w:pPr>
              <w:rPr>
                <w:color w:val="000000"/>
              </w:rPr>
            </w:pPr>
            <w:r w:rsidRPr="00DF3AF9">
              <w:rPr>
                <w:color w:val="000000"/>
              </w:rPr>
              <w:t>Alarm otwartego uchwytu komory strzykawki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267D" w:rsidRPr="00DF3AF9" w:rsidRDefault="00B0267D" w:rsidP="00EA5205">
            <w:pPr>
              <w:spacing w:line="360" w:lineRule="auto"/>
              <w:jc w:val="both"/>
            </w:pPr>
            <w:r w:rsidRPr="00DF3AF9">
              <w:t>Instrukcja obsługi w języku polskim ( wraz z dostawą)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67D" w:rsidRPr="00DF3AF9" w:rsidRDefault="00B0267D" w:rsidP="00EA5205">
            <w:pPr>
              <w:spacing w:line="360" w:lineRule="auto"/>
              <w:jc w:val="both"/>
            </w:pPr>
          </w:p>
        </w:tc>
      </w:tr>
      <w:tr w:rsidR="00B0267D" w:rsidRPr="00DF3AF9" w:rsidTr="00EA5205">
        <w:trPr>
          <w:trHeight w:val="315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B0267D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lang w:eastAsia="hi-IN" w:bidi="hi-IN"/>
              </w:rPr>
            </w:pPr>
            <w:r w:rsidRPr="00DF3AF9">
              <w:rPr>
                <w:b/>
                <w:bCs/>
                <w:lang w:eastAsia="hi-IN" w:bidi="hi-IN"/>
              </w:rPr>
              <w:t xml:space="preserve">Stacja dokująca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7D" w:rsidRPr="00DF3AF9" w:rsidRDefault="00B0267D" w:rsidP="00EA5205">
            <w:pPr>
              <w:jc w:val="center"/>
              <w:rPr>
                <w:b/>
                <w:bCs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7D" w:rsidRPr="00DF3AF9" w:rsidRDefault="00B0267D" w:rsidP="00EA5205">
            <w:pPr>
              <w:jc w:val="center"/>
              <w:rPr>
                <w:b/>
                <w:bCs/>
                <w:lang w:eastAsia="hi-IN" w:bidi="hi-IN"/>
              </w:rPr>
            </w:pPr>
          </w:p>
        </w:tc>
      </w:tr>
      <w:tr w:rsidR="00B0267D" w:rsidRPr="00DF3AF9" w:rsidTr="00EA5205">
        <w:trPr>
          <w:trHeight w:val="510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System szybkiego mocowania od 1 do 8 pomp strzykawkowych lub objętościowych do stacji dokującej bez przerywania przepływu.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43.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Możliwość rozbudowy stacji o interfejs do komunikacji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Podłączenie zasilania pomp odbywa się automatycznie po włożeniu pompy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Możliwość dowolnej zmiany miejsca pomp w module bez konieczności wyjmowania innych pomp.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510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 xml:space="preserve">   46.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Możliwość dowolnej konfiguracji  ilości pomp strzykawkowych i objętościowych w stacji dokującej przy każdym stanowisku pacjenta.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</w:t>
            </w:r>
            <w:r w:rsidRPr="00DF3AF9">
              <w:rPr>
                <w:lang w:eastAsia="hi-IN" w:bidi="hi-IN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Mocowanie stacji dokującej do rury pionowej lub poziomej bez dodatkowego oprzyrządowania.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</w:t>
            </w:r>
            <w:r w:rsidRPr="00DF3AF9">
              <w:rPr>
                <w:lang w:eastAsia="hi-IN" w:bidi="hi-IN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Uchwyt do przenoszenia modułu.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49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Możliwość rozbudowy stacji dokującej i przystosowanie do minimum 12 pomp na stanowisko.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50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Możliwość współpracy z czytnikiem  kodów paskowych 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51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Możliwość współpracy z Systemem do kontrolowanej insulinoterapii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76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52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Możliwość komunikacji z Systemami PDMS ( System Zarządzania Danymi Pacjentów ) firm Philips, Drager, Capsule Technologie, Cerner, Copra, IMDsoft, GE, Space Labs. Potwierdzona działąjącymi instalacjami.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  <w:tr w:rsidR="00B0267D" w:rsidRPr="00DF3AF9" w:rsidTr="00EA5205">
        <w:trPr>
          <w:trHeight w:val="270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53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Opcjonalna możliwość stosowania systemu do kontrolowania glikemii.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D" w:rsidRPr="00DF3AF9" w:rsidRDefault="00B0267D" w:rsidP="00EA5205">
            <w:pPr>
              <w:rPr>
                <w:lang w:eastAsia="hi-IN" w:bidi="hi-IN"/>
              </w:rPr>
            </w:pPr>
          </w:p>
        </w:tc>
      </w:tr>
    </w:tbl>
    <w:p w:rsidR="00B0267D" w:rsidRPr="00DF3AF9" w:rsidRDefault="00B0267D" w:rsidP="00B0267D"/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647"/>
        <w:gridCol w:w="1985"/>
        <w:gridCol w:w="2409"/>
      </w:tblGrid>
      <w:tr w:rsidR="00B0267D" w:rsidRPr="00DF3AF9" w:rsidTr="00EA5205"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  <w:rPr>
                <w:b/>
              </w:rPr>
            </w:pPr>
            <w:r w:rsidRPr="00DF3AF9">
              <w:rPr>
                <w:b/>
              </w:rPr>
              <w:t>GWARANCJA i SERWIS</w:t>
            </w:r>
          </w:p>
        </w:tc>
      </w:tr>
      <w:tr w:rsidR="00B0267D" w:rsidRPr="00DF3AF9" w:rsidTr="00EA5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</w:pPr>
            <w:r w:rsidRPr="00DF3AF9">
              <w:t>1.</w:t>
            </w:r>
          </w:p>
        </w:tc>
        <w:tc>
          <w:tcPr>
            <w:tcW w:w="8647" w:type="dxa"/>
            <w:shd w:val="clear" w:color="auto" w:fill="auto"/>
          </w:tcPr>
          <w:p w:rsidR="00B0267D" w:rsidRPr="00DF3AF9" w:rsidRDefault="00B0267D" w:rsidP="00EA5205">
            <w:pPr>
              <w:contextualSpacing/>
            </w:pPr>
            <w:r w:rsidRPr="00DF3AF9">
              <w:t>Pełna gwarancja (bez wyłączeń)  na dostarczony sprzęt i oprogramowanie na okres min. 24 miesięcy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D" w:rsidRPr="00DF3AF9" w:rsidRDefault="00B0267D" w:rsidP="00EA5205">
            <w:pPr>
              <w:spacing w:line="256" w:lineRule="auto"/>
              <w:jc w:val="center"/>
            </w:pPr>
          </w:p>
        </w:tc>
      </w:tr>
      <w:tr w:rsidR="00B0267D" w:rsidRPr="00DF3AF9" w:rsidTr="00EA5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</w:pPr>
            <w:r w:rsidRPr="00DF3AF9">
              <w:t>2.</w:t>
            </w:r>
          </w:p>
        </w:tc>
        <w:tc>
          <w:tcPr>
            <w:tcW w:w="8647" w:type="dxa"/>
            <w:shd w:val="clear" w:color="auto" w:fill="auto"/>
          </w:tcPr>
          <w:p w:rsidR="00B0267D" w:rsidRPr="00DF3AF9" w:rsidRDefault="00B0267D" w:rsidP="00EA5205">
            <w:pPr>
              <w:contextualSpacing/>
            </w:pPr>
            <w:r w:rsidRPr="00DF3AF9">
              <w:t xml:space="preserve">Czas reakcji na zgłoszenie usterki  24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D" w:rsidRPr="00DF3AF9" w:rsidRDefault="00B0267D" w:rsidP="00EA5205">
            <w:pPr>
              <w:spacing w:line="256" w:lineRule="auto"/>
              <w:jc w:val="center"/>
            </w:pPr>
          </w:p>
        </w:tc>
      </w:tr>
      <w:tr w:rsidR="00B0267D" w:rsidRPr="00DF3AF9" w:rsidTr="00EA5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</w:pPr>
            <w:r w:rsidRPr="00DF3AF9">
              <w:lastRenderedPageBreak/>
              <w:t>3.</w:t>
            </w:r>
          </w:p>
        </w:tc>
        <w:tc>
          <w:tcPr>
            <w:tcW w:w="8647" w:type="dxa"/>
            <w:shd w:val="clear" w:color="auto" w:fill="auto"/>
          </w:tcPr>
          <w:p w:rsidR="00B0267D" w:rsidRPr="00DF3AF9" w:rsidRDefault="00B0267D" w:rsidP="00EA5205">
            <w:pPr>
              <w:contextualSpacing/>
            </w:pPr>
            <w:r w:rsidRPr="00DF3AF9">
              <w:t xml:space="preserve">Czas skutecznej naprawy – max 3 dni robocze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 xml:space="preserve">TAK </w:t>
            </w:r>
          </w:p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D" w:rsidRPr="00DF3AF9" w:rsidRDefault="00B0267D" w:rsidP="00EA5205">
            <w:pPr>
              <w:spacing w:line="256" w:lineRule="auto"/>
              <w:jc w:val="center"/>
            </w:pPr>
          </w:p>
        </w:tc>
      </w:tr>
      <w:tr w:rsidR="00B0267D" w:rsidRPr="00DF3AF9" w:rsidTr="00EA5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</w:pPr>
            <w:r w:rsidRPr="00DF3AF9">
              <w:t>4.</w:t>
            </w:r>
          </w:p>
        </w:tc>
        <w:tc>
          <w:tcPr>
            <w:tcW w:w="8647" w:type="dxa"/>
            <w:shd w:val="clear" w:color="auto" w:fill="auto"/>
          </w:tcPr>
          <w:p w:rsidR="00B0267D" w:rsidRPr="00DF3AF9" w:rsidRDefault="00B0267D" w:rsidP="00EA5205">
            <w:pPr>
              <w:contextualSpacing/>
            </w:pPr>
            <w:r w:rsidRPr="00DF3AF9">
              <w:t xml:space="preserve">W trakcie trwania gwarancji wszystkie naprawy wykonywane na koszt Wykonawcy łącznie z dojazdem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D" w:rsidRPr="00DF3AF9" w:rsidRDefault="00B0267D" w:rsidP="00EA5205">
            <w:pPr>
              <w:spacing w:line="256" w:lineRule="auto"/>
              <w:jc w:val="center"/>
            </w:pPr>
          </w:p>
        </w:tc>
      </w:tr>
      <w:tr w:rsidR="00B0267D" w:rsidRPr="00DF3AF9" w:rsidTr="00EA5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</w:pPr>
            <w:r w:rsidRPr="00DF3AF9">
              <w:t>5.</w:t>
            </w:r>
          </w:p>
        </w:tc>
        <w:tc>
          <w:tcPr>
            <w:tcW w:w="8647" w:type="dxa"/>
            <w:shd w:val="clear" w:color="auto" w:fill="auto"/>
          </w:tcPr>
          <w:p w:rsidR="00B0267D" w:rsidRPr="00DF3AF9" w:rsidRDefault="00B0267D" w:rsidP="00EA5205">
            <w:pPr>
              <w:contextualSpacing/>
            </w:pPr>
            <w:r w:rsidRPr="00DF3AF9">
              <w:t xml:space="preserve">Wymiana urządzenia po 2 naprawach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D" w:rsidRPr="00DF3AF9" w:rsidRDefault="00B0267D" w:rsidP="00EA5205">
            <w:pPr>
              <w:spacing w:line="256" w:lineRule="auto"/>
              <w:jc w:val="center"/>
            </w:pPr>
          </w:p>
        </w:tc>
      </w:tr>
      <w:tr w:rsidR="00B0267D" w:rsidRPr="00DF3AF9" w:rsidTr="00EA5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</w:pPr>
            <w:r w:rsidRPr="00DF3AF9">
              <w:t>6.</w:t>
            </w:r>
          </w:p>
        </w:tc>
        <w:tc>
          <w:tcPr>
            <w:tcW w:w="8647" w:type="dxa"/>
            <w:shd w:val="clear" w:color="auto" w:fill="auto"/>
          </w:tcPr>
          <w:p w:rsidR="00B0267D" w:rsidRPr="00DF3AF9" w:rsidRDefault="00B0267D" w:rsidP="00EA5205">
            <w:r w:rsidRPr="00DF3AF9">
              <w:t>Szkolenie w zakresie obsługi sprzętu w siedzibie zamawiającego dla personelu medycznego oraz technicznego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D" w:rsidRPr="00DF3AF9" w:rsidRDefault="00B0267D" w:rsidP="00EA5205">
            <w:pPr>
              <w:spacing w:line="256" w:lineRule="auto"/>
              <w:jc w:val="center"/>
            </w:pPr>
          </w:p>
        </w:tc>
      </w:tr>
      <w:tr w:rsidR="00B0267D" w:rsidRPr="00DF3AF9" w:rsidTr="00EA5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7D" w:rsidRPr="00DF3AF9" w:rsidRDefault="00B0267D" w:rsidP="00EA5205">
            <w:pPr>
              <w:spacing w:line="256" w:lineRule="auto"/>
              <w:jc w:val="center"/>
            </w:pPr>
            <w:r w:rsidRPr="00DF3AF9">
              <w:t>7.</w:t>
            </w:r>
          </w:p>
        </w:tc>
        <w:tc>
          <w:tcPr>
            <w:tcW w:w="8647" w:type="dxa"/>
            <w:shd w:val="clear" w:color="auto" w:fill="auto"/>
          </w:tcPr>
          <w:p w:rsidR="00B0267D" w:rsidRPr="00DF3AF9" w:rsidRDefault="00B0267D" w:rsidP="00EA5205">
            <w:r w:rsidRPr="00DF3AF9">
              <w:t>Instrukcja użytkowania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67D" w:rsidRPr="00DF3AF9" w:rsidRDefault="00B0267D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D" w:rsidRPr="00DF3AF9" w:rsidRDefault="00B0267D" w:rsidP="00EA5205">
            <w:pPr>
              <w:spacing w:line="256" w:lineRule="auto"/>
              <w:jc w:val="center"/>
            </w:pPr>
          </w:p>
        </w:tc>
      </w:tr>
    </w:tbl>
    <w:p w:rsidR="00B0267D" w:rsidRPr="00DF3AF9" w:rsidRDefault="00B0267D" w:rsidP="00B0267D">
      <w:pPr>
        <w:pStyle w:val="Tekstpodstawowy"/>
        <w:rPr>
          <w:b/>
          <w:sz w:val="22"/>
          <w:szCs w:val="22"/>
        </w:rPr>
      </w:pPr>
    </w:p>
    <w:p w:rsidR="00B0267D" w:rsidRPr="00DF3AF9" w:rsidRDefault="00B0267D" w:rsidP="00B0267D"/>
    <w:p w:rsidR="00B0267D" w:rsidRPr="00CC309B" w:rsidRDefault="00B0267D" w:rsidP="00B0267D"/>
    <w:p w:rsidR="00B0267D" w:rsidRPr="00CC309B" w:rsidRDefault="00B0267D" w:rsidP="00B0267D">
      <w:pPr>
        <w:rPr>
          <w:b/>
        </w:rPr>
      </w:pPr>
    </w:p>
    <w:p w:rsidR="00B0267D" w:rsidRPr="00CC309B" w:rsidRDefault="00B0267D" w:rsidP="00B0267D">
      <w:pPr>
        <w:rPr>
          <w:b/>
        </w:rPr>
      </w:pPr>
    </w:p>
    <w:p w:rsidR="00377829" w:rsidRDefault="00377829"/>
    <w:sectPr w:rsidR="00377829" w:rsidSect="00E111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02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BB18EB" w:rsidRDefault="00B026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18EB" w:rsidRDefault="00B026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0267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02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0267D">
    <w:pPr>
      <w:pStyle w:val="Nagwek"/>
    </w:pPr>
    <w:r w:rsidRPr="000B3D1D">
      <w:rPr>
        <w:noProof/>
        <w:lang w:eastAsia="pl-PL"/>
      </w:rPr>
      <w:drawing>
        <wp:inline distT="0" distB="0" distL="0" distR="0" wp14:anchorId="7FC077A0" wp14:editId="15BA3C86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EB" w:rsidRDefault="00B0267D">
    <w:pPr>
      <w:pStyle w:val="Nagwek"/>
    </w:pPr>
  </w:p>
  <w:p w:rsidR="00BB18EB" w:rsidRDefault="00B0267D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02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D"/>
    <w:rsid w:val="00377829"/>
    <w:rsid w:val="00B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DB4D-FA3C-4D6F-B753-B0272A8A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6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67D"/>
  </w:style>
  <w:style w:type="paragraph" w:styleId="Stopka">
    <w:name w:val="footer"/>
    <w:basedOn w:val="Normalny"/>
    <w:link w:val="StopkaZnak"/>
    <w:uiPriority w:val="99"/>
    <w:unhideWhenUsed/>
    <w:rsid w:val="00B026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26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B0267D"/>
    <w:pPr>
      <w:ind w:left="720"/>
      <w:contextualSpacing/>
    </w:pPr>
  </w:style>
  <w:style w:type="paragraph" w:customStyle="1" w:styleId="Akapitzlist1">
    <w:name w:val="Akapit z listą1"/>
    <w:basedOn w:val="Normalny"/>
    <w:rsid w:val="00B0267D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026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67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B026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0267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2020-07-05T19:38:00Z</dcterms:created>
  <dcterms:modified xsi:type="dcterms:W3CDTF">2020-07-05T19:39:00Z</dcterms:modified>
</cp:coreProperties>
</file>