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D24" w:rsidRPr="001753D5" w:rsidRDefault="00691D24" w:rsidP="00BF22FA">
      <w:bookmarkStart w:id="0" w:name="_GoBack"/>
      <w:bookmarkEnd w:id="0"/>
      <w:r w:rsidRPr="00BF22FA">
        <w:rPr>
          <w:rStyle w:val="Domylnaczcionkaakapitu1"/>
          <w:rFonts w:ascii="Times New Roman" w:hAnsi="Times New Roman"/>
          <w:b/>
          <w:bCs/>
        </w:rPr>
        <w:t>Kardiomonitor modułowy – szt.6.</w:t>
      </w:r>
      <w:r w:rsidR="001753D5" w:rsidRPr="00BF22FA">
        <w:rPr>
          <w:rStyle w:val="Domylnaczcionkaakapitu1"/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BF22FA">
        <w:rPr>
          <w:rStyle w:val="Domylnaczcionkaakapitu1"/>
          <w:rFonts w:ascii="Times New Roman" w:hAnsi="Times New Roman"/>
          <w:b/>
          <w:bCs/>
        </w:rPr>
        <w:t xml:space="preserve">     </w:t>
      </w:r>
      <w:r w:rsidRPr="00BF22FA">
        <w:rPr>
          <w:rStyle w:val="Domylnaczcionkaakapitu1"/>
          <w:rFonts w:ascii="Times New Roman" w:hAnsi="Times New Roman"/>
        </w:rPr>
        <w:t>Centrala do kardiomonitorów modułowych – szt.1</w:t>
      </w:r>
    </w:p>
    <w:p w:rsidR="00691D24" w:rsidRPr="001753D5" w:rsidRDefault="00691D24" w:rsidP="001753D5">
      <w:pPr>
        <w:pStyle w:val="Akapitzlist1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76" w:lineRule="auto"/>
        <w:ind w:left="1701" w:hanging="567"/>
        <w:contextualSpacing w:val="0"/>
        <w:rPr>
          <w:rFonts w:ascii="Times New Roman" w:hAnsi="Times New Roman" w:cs="Times New Roman"/>
        </w:rPr>
      </w:pPr>
      <w:r w:rsidRPr="001753D5">
        <w:rPr>
          <w:rFonts w:ascii="Times New Roman" w:hAnsi="Times New Roman" w:cs="Times New Roman"/>
        </w:rPr>
        <w:t>Nazwa sprzętu:</w:t>
      </w:r>
    </w:p>
    <w:p w:rsidR="00691D24" w:rsidRPr="001753D5" w:rsidRDefault="00691D24" w:rsidP="001753D5">
      <w:pPr>
        <w:pStyle w:val="Akapitzlist1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76" w:lineRule="auto"/>
        <w:ind w:left="1701" w:hanging="567"/>
        <w:contextualSpacing w:val="0"/>
        <w:rPr>
          <w:rFonts w:ascii="Times New Roman" w:hAnsi="Times New Roman" w:cs="Times New Roman"/>
        </w:rPr>
      </w:pPr>
      <w:r w:rsidRPr="001753D5">
        <w:rPr>
          <w:rFonts w:ascii="Times New Roman" w:hAnsi="Times New Roman" w:cs="Times New Roman"/>
        </w:rPr>
        <w:t>Model:</w:t>
      </w:r>
    </w:p>
    <w:p w:rsidR="00691D24" w:rsidRPr="001753D5" w:rsidRDefault="00691D24" w:rsidP="001753D5">
      <w:pPr>
        <w:pStyle w:val="Akapitzlist1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76" w:lineRule="auto"/>
        <w:ind w:left="1701" w:hanging="567"/>
        <w:contextualSpacing w:val="0"/>
        <w:rPr>
          <w:rFonts w:ascii="Times New Roman" w:hAnsi="Times New Roman" w:cs="Times New Roman"/>
        </w:rPr>
      </w:pPr>
      <w:r w:rsidRPr="001753D5">
        <w:rPr>
          <w:rFonts w:ascii="Times New Roman" w:hAnsi="Times New Roman" w:cs="Times New Roman"/>
        </w:rPr>
        <w:t>Typ:</w:t>
      </w:r>
    </w:p>
    <w:p w:rsidR="00691D24" w:rsidRPr="001753D5" w:rsidRDefault="00691D24" w:rsidP="001753D5">
      <w:pPr>
        <w:pStyle w:val="Akapitzlist1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76" w:lineRule="auto"/>
        <w:ind w:left="1701" w:hanging="567"/>
        <w:contextualSpacing w:val="0"/>
        <w:rPr>
          <w:rFonts w:ascii="Times New Roman" w:hAnsi="Times New Roman" w:cs="Times New Roman"/>
        </w:rPr>
      </w:pPr>
      <w:r w:rsidRPr="001753D5">
        <w:rPr>
          <w:rFonts w:ascii="Times New Roman" w:hAnsi="Times New Roman" w:cs="Times New Roman"/>
        </w:rPr>
        <w:t>Rok prod.: nie starszy niż 2020 (sprzęt fabrycznie nowy, nieużywany, nierekondycjonowany)</w:t>
      </w:r>
    </w:p>
    <w:p w:rsidR="00691D24" w:rsidRPr="001753D5" w:rsidRDefault="00691D24" w:rsidP="001753D5">
      <w:pPr>
        <w:pStyle w:val="Akapitzlist1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76" w:lineRule="auto"/>
        <w:ind w:left="1701" w:hanging="567"/>
        <w:contextualSpacing w:val="0"/>
        <w:rPr>
          <w:rStyle w:val="Domylnaczcionkaakapitu1"/>
          <w:rFonts w:ascii="Times New Roman" w:hAnsi="Times New Roman" w:cs="Times New Roman"/>
        </w:rPr>
      </w:pPr>
      <w:r w:rsidRPr="001753D5">
        <w:rPr>
          <w:rFonts w:ascii="Times New Roman" w:hAnsi="Times New Roman" w:cs="Times New Roman"/>
        </w:rPr>
        <w:t>Producent:</w:t>
      </w:r>
    </w:p>
    <w:p w:rsidR="00691D24" w:rsidRPr="001753D5" w:rsidRDefault="00691D24" w:rsidP="00691D24">
      <w:pPr>
        <w:pStyle w:val="Normalny1"/>
        <w:ind w:left="1134"/>
        <w:rPr>
          <w:rFonts w:ascii="Times New Roman" w:hAnsi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0"/>
        <w:gridCol w:w="45"/>
        <w:gridCol w:w="6"/>
        <w:gridCol w:w="39"/>
        <w:gridCol w:w="7822"/>
        <w:gridCol w:w="77"/>
        <w:gridCol w:w="2361"/>
        <w:gridCol w:w="2538"/>
      </w:tblGrid>
      <w:tr w:rsidR="00691D24" w:rsidRPr="001753D5" w:rsidTr="001753D5">
        <w:trPr>
          <w:trHeight w:val="52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753D5">
              <w:rPr>
                <w:rFonts w:ascii="Times New Roman" w:eastAsia="Times New Roman" w:hAnsi="Times New Roman"/>
                <w:b/>
                <w:bCs/>
              </w:rPr>
              <w:t>Lp.</w:t>
            </w:r>
          </w:p>
        </w:tc>
        <w:tc>
          <w:tcPr>
            <w:tcW w:w="7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753D5">
              <w:rPr>
                <w:rFonts w:ascii="Times New Roman" w:eastAsia="Times New Roman" w:hAnsi="Times New Roman"/>
                <w:b/>
                <w:bCs/>
              </w:rPr>
              <w:t>Parametry techniczne i funkcjonalne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753D5">
              <w:rPr>
                <w:rFonts w:ascii="Times New Roman" w:eastAsia="Times New Roman" w:hAnsi="Times New Roman"/>
                <w:b/>
                <w:bCs/>
              </w:rPr>
              <w:t>Parametry wymagane/oceniane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753D5">
              <w:rPr>
                <w:rFonts w:ascii="Times New Roman" w:eastAsia="Times New Roman" w:hAnsi="Times New Roman"/>
                <w:b/>
                <w:bCs/>
              </w:rPr>
              <w:t>Parametry oferowane</w:t>
            </w:r>
          </w:p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b/>
                <w:bCs/>
              </w:rPr>
              <w:t>PODAĆ/OPISAĆ</w:t>
            </w:r>
          </w:p>
        </w:tc>
      </w:tr>
      <w:tr w:rsidR="001753D5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3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D5" w:rsidRPr="001753D5" w:rsidRDefault="001753D5" w:rsidP="001753D5">
            <w:pPr>
              <w:pStyle w:val="Normalny1"/>
              <w:numPr>
                <w:ilvl w:val="0"/>
                <w:numId w:val="11"/>
              </w:numPr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eastAsia="Times New Roman" w:hAnsi="Times New Roman"/>
                <w:b/>
                <w:bCs/>
                <w:color w:val="000000"/>
              </w:rPr>
              <w:t>Opis ogólny</w:t>
            </w: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274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shd w:val="clear" w:color="auto" w:fill="FFFF00"/>
              </w:rPr>
            </w:pPr>
            <w:r w:rsidRPr="001753D5">
              <w:rPr>
                <w:rFonts w:ascii="Times New Roman" w:eastAsia="Times New Roman" w:hAnsi="Times New Roman"/>
              </w:rPr>
              <w:t>1</w:t>
            </w:r>
            <w:r w:rsidR="001753D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strike/>
              </w:rPr>
            </w:pPr>
          </w:p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1753D5">
              <w:rPr>
                <w:rFonts w:ascii="Times New Roman" w:eastAsia="Times New Roman" w:hAnsi="Times New Roman"/>
              </w:rPr>
              <w:t>Możliwość integracji z klinicznym systemem informatycznym (CIS), za pośrednictwem standardowego interfejsu HL7 lub innego rozwiązania oferowanego przez producenta tego systemu, umożliwiającym prowadzenie elektronicznej dokumentacji medycznej i jej ciągłość w zakresie opieki około-intensywnej i około-operacyjnej, zapewniającym przynajmniej: automatyczną akwizycję parametrów życiowych z oferowanych monitorów, ale także: respiratorów, aparatów do znieczulania, pomp infuzyjnych i do terapii nerkozastępczej; dokumentację terapii płynowej i lekowej, obliczanie bilansu płynów, ocenę stanu pacjenta wg. znanych skal ocen (m.in.: APACHE II, GCS, TISS-28, SOFA), tworzenie zleceń lekarskich, dokumentację procesu opieki pielęgniarskiej, generowanie raportów (w tym karta znieczulenia).</w:t>
            </w:r>
          </w:p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  <w:strike/>
              </w:rPr>
            </w:pP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lastRenderedPageBreak/>
              <w:t>2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System monitorowania pacjenta o budowie modułowej w technologii wymiennych modułów podłączanych podczas pracy z automatyczną rekonfiguracją ekranu uwzględniającą pojawienie się nowych parametrów pomiarowych.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5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3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Każde stanowisko systemu monitorowania składa się z dużego monitora stacjonarnego, zapewniającego pełną obsługę funkcji monitorowania pacjenta, oraz z niewielkich rozmiarów modułu transportowego z ekranem, opisanego w dalszej części specyfikacji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4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Wszystkie elementy systemu monitorowania pacjenta chłodzone konwekcyjnie, pasywnie - bez użycia wentylatorów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5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System monitorowania pacjenta przeznaczony do monitorowania pacjentów we wszystkich kategoriach wiekowych: dorosłych, dzieci i noworodków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6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Komunikacja z użytkownikiem w języku polskim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263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7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Monitor wyposażony w tryb "Standby" - tymczasowe wstrzymanie monitorowania pacjenta oraz sygnalizowania alarmów, np. na czas toalety pacjenta lub badania diagnostycznego. Po wznowieniu monitorowania następuje kontynuacja monitorowania tego samego pacjenta bez utraty zapisanych danych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55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8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Monitor wyposażony w tryb prywatności: możliwość wstrzymania wyświetlania na ekranie monitora danych demograficznych pacjenta (numer ID, imię, nazwisko, itp. – bez konieczności usuwania ich z monitora), a także krzywych i parametrów oraz sygnalizowania alarmów bezpośrednio na stanowisku pacjenta - w tym czasie pacjent pozostaje pod ciągłym nadzorem na stanowisku centralnego monitorowania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1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numPr>
                <w:ilvl w:val="0"/>
                <w:numId w:val="11"/>
              </w:numPr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Zasilanie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9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Zasilanie sieciowe, zgodne z PN, dostosowane do 230V/50Hz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769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10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 xml:space="preserve">Monitor wyposażony w zasilanie akumulatorowe zapewniające </w:t>
            </w:r>
            <w:r w:rsidRPr="001753D5">
              <w:rPr>
                <w:rFonts w:ascii="Times New Roman" w:eastAsia="Times New Roman" w:hAnsi="Times New Roman"/>
              </w:rPr>
              <w:t>przynajmniej</w:t>
            </w:r>
            <w:r w:rsidR="001753D5">
              <w:rPr>
                <w:rFonts w:ascii="Times New Roman" w:eastAsia="Times New Roman" w:hAnsi="Times New Roman"/>
              </w:rPr>
              <w:t xml:space="preserve"> </w:t>
            </w:r>
            <w:r w:rsidRPr="001753D5">
              <w:rPr>
                <w:rFonts w:ascii="Times New Roman" w:eastAsia="Times New Roman" w:hAnsi="Times New Roman"/>
              </w:rPr>
              <w:t xml:space="preserve">60 </w:t>
            </w:r>
            <w:r w:rsidRPr="001753D5">
              <w:rPr>
                <w:rFonts w:ascii="Times New Roman" w:eastAsia="Times New Roman" w:hAnsi="Times New Roman"/>
                <w:color w:val="000000"/>
              </w:rPr>
              <w:t>minut pracy na wypadek zaniku zasilania lub transportu. W czasie pracy na baterii parametry są wyświetlane na dużym ekranie monitora stacjonarnego – dopuszcza się realizację tej funkcjonalności przy pomocy zewnętrznego zasilacza UPS klasy medycznej montowanego na stanowisku. W przypadku zewnętrznego zasilacza w ofercie ujęty uchwyt do montażu zasilacza na stanowisku pacjenta.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753D5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3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D5" w:rsidRPr="001753D5" w:rsidRDefault="001753D5" w:rsidP="001753D5">
            <w:pPr>
              <w:pStyle w:val="Normalny1"/>
              <w:numPr>
                <w:ilvl w:val="0"/>
                <w:numId w:val="11"/>
              </w:numPr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eastAsia="Times New Roman" w:hAnsi="Times New Roman"/>
                <w:b/>
                <w:bCs/>
                <w:color w:val="000000"/>
              </w:rPr>
              <w:t>Praca w sieci centralnego monitorowania</w:t>
            </w: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5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11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 xml:space="preserve">Możliwość pracy w sieci centralnego monitorowania, zgodnej ze standardem Ethernet. Możliwość rozbudowy o bezprzewodowe połączenie z siecią monitorowania, zgodnie ze standardem przynajmniej IEEE802.11a i/lub b/g z zabezpieczeniami na poziomie nie gorszym niż WPA2-PSK. </w:t>
            </w:r>
          </w:p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</w:rPr>
              <w:t>Możliwość rozbudowy o bezprzewodowe połączenie siecią dostępna w dniu składania oferty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8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12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 xml:space="preserve">Monitory umożliwiają wykorzystanie jednej fizycznej infrastruktury teleinformatycznej, w sieci przewodowej i bezprzewodowej, do celu sieci centralnego monitorowania oraz innych aplikacji szpitalnych, w sposób zapewniający bezpieczeństwo i priorytet przesyłania wrażliwych danych medycznych. </w:t>
            </w:r>
          </w:p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hAnsi="Times New Roman"/>
              </w:rPr>
              <w:t>Sieć centralnego monitorowania oparta na standardowych rozwiązaniach (IEEE 802.3), wykorzystuje protokoły TCP/IP oraz transmisję typu multicast.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8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13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Monitory umożliwiają zdalny podgląd ekranu innego kardiomonitora pracującego w sieci centralnego monitorowania. Funkcjonalność zależy wyłącznie od funkcjonowania sieci monitorowania i nie wymaga obecności dedykowanych komputerów, serwerów, centrali monitorującej, itp.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5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14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Monitory umożliwiają wyświetlanie informacji o alarmach występujących na pozostałych kardiomonitorach pracujących w sieci centralnego monitorowania. Możliwość konfiguracji stanowisk, pomiędzy którymi mają być wymieniane informacje o alarmach.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15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  <w:strike/>
              </w:rPr>
            </w:pPr>
            <w:r w:rsidRPr="001753D5">
              <w:rPr>
                <w:rFonts w:ascii="Times New Roman" w:eastAsia="Times New Roman" w:hAnsi="Times New Roman"/>
              </w:rPr>
              <w:t>Monitory umożliwiają podgląd danych ze zdalnego monitora, w którym wystąpił alarm, w tym krzywych dynamicznych i wartości liczbowych</w:t>
            </w:r>
            <w:r w:rsidRPr="001753D5">
              <w:rPr>
                <w:rFonts w:ascii="Times New Roman" w:eastAsia="Times New Roman" w:hAnsi="Times New Roman"/>
                <w:strike/>
              </w:rPr>
              <w:t xml:space="preserve"> </w:t>
            </w:r>
            <w:r w:rsidRPr="001753D5">
              <w:rPr>
                <w:rFonts w:ascii="Times New Roman" w:eastAsia="Times New Roman" w:hAnsi="Times New Roman"/>
              </w:rPr>
              <w:t>parametrów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16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Możliwość drukowania krzywych, raportów, na podłączonej do sieci centralnego monitorowania tradycyjnej drukarce laserowej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1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numPr>
                <w:ilvl w:val="0"/>
                <w:numId w:val="11"/>
              </w:numPr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eastAsia="Times New Roman" w:hAnsi="Times New Roman"/>
                <w:b/>
                <w:bCs/>
                <w:color w:val="000000"/>
              </w:rPr>
              <w:t>Sposób montażu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5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17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Style w:val="Domylnaczcionkaakapitu1"/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</w:rPr>
              <w:t>W ofercie do każdego monitora uchwyt montażowy do kolumny medycznej lub ściany umożliwiający obrót, nachylenie i zmianę wysokości monitora. Dostępne uchwyty montażowe monitora: na ścianę, na podstawie jezdnej i do aparatu do znieczulania.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Style w:val="Domylnaczcionkaakapitu1"/>
                <w:rFonts w:ascii="Times New Roman" w:hAnsi="Times New Roman"/>
              </w:rPr>
              <w:t>TAK</w:t>
            </w:r>
            <w:r w:rsidRPr="001753D5">
              <w:rPr>
                <w:rStyle w:val="Domylnaczcionkaakapitu1"/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5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18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1753D5">
              <w:rPr>
                <w:rFonts w:ascii="Times New Roman" w:hAnsi="Times New Roman"/>
              </w:rPr>
              <w:t>W ofercie ujęty system mocowania do kolumny medycznej posiadanej przez Zamawiającego (Zamawiający wymaga wizytacji na miejscu celem doboru odpowiednich ramion)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Style w:val="Domylnaczcionkaakapitu1"/>
                <w:rFonts w:ascii="Times New Roman" w:hAnsi="Times New Roman"/>
              </w:rPr>
            </w:pPr>
            <w:r w:rsidRPr="001753D5">
              <w:rPr>
                <w:rStyle w:val="Domylnaczcionkaakapitu1"/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5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1</w:t>
            </w:r>
            <w:r w:rsidR="001753D5">
              <w:rPr>
                <w:rFonts w:ascii="Times New Roman" w:eastAsia="Times New Roman" w:hAnsi="Times New Roman"/>
                <w:color w:val="000000"/>
              </w:rPr>
              <w:t>9.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hAnsi="Times New Roman"/>
              </w:rPr>
              <w:t>Moduł transportowy mocowany w sposób umożliwiający błyskawicznie rozpoczęcie transportu pacjenta, bez konieczności odłączania/przełączania przewodów zasilających, sieciowych oraz kabli i modułów pomiarowych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Style w:val="Domylnaczcionkaakapitu1"/>
                <w:rFonts w:ascii="Times New Roman" w:hAnsi="Times New Roman"/>
              </w:rPr>
            </w:pPr>
            <w:r w:rsidRPr="001753D5">
              <w:rPr>
                <w:rStyle w:val="Domylnaczcionkaakapitu1"/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1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numPr>
                <w:ilvl w:val="0"/>
                <w:numId w:val="11"/>
              </w:numPr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eastAsia="Times New Roman" w:hAnsi="Times New Roman"/>
                <w:b/>
                <w:bCs/>
                <w:color w:val="000000"/>
              </w:rPr>
              <w:t>Monitor stacjonarny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57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1753D5">
              <w:rPr>
                <w:rFonts w:ascii="Times New Roman" w:eastAsia="Times New Roman" w:hAnsi="Times New Roman"/>
              </w:rPr>
              <w:t>Monitor wyposażony w dotykowy ekran o przekątnej min. 15" i rozdzielczości min. 1024 x 768 pikseli. Umożliwia wyświetlanie przynajmniej</w:t>
            </w:r>
            <w:r w:rsidRPr="001753D5">
              <w:rPr>
                <w:rFonts w:ascii="Times New Roman" w:eastAsia="Times New Roman" w:hAnsi="Times New Roman"/>
                <w:strike/>
              </w:rPr>
              <w:t xml:space="preserve"> </w:t>
            </w:r>
            <w:r w:rsidRPr="001753D5">
              <w:rPr>
                <w:rFonts w:ascii="Times New Roman" w:eastAsia="Times New Roman" w:hAnsi="Times New Roman"/>
              </w:rPr>
              <w:t>10 krzywych dynamicznych, z możliwością rozbudowy do min. 14 jednocześnie i pełną obsługę funkcji monitorowania pacjenta. Nie dopuszcza się realizacji tej funkcjonalności z wykorzystaniem zewnętrznego, dodatkowego ekranu lub innych rozwiązań zależnych od funkcjonowania sieci informatycznej</w:t>
            </w:r>
          </w:p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</w:rPr>
              <w:t xml:space="preserve">Ekran w formacie panoramicznym 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Możliwość podłączenia dodatkowego ekranu powielającego o przekątnej min. 19”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091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2</w:t>
            </w:r>
            <w:r w:rsidR="001753D5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Obsługa kardiomonitora poprzez ekran dotykowy i pokrętło. Możliwość podłączenia klawiatury i myszy do portu USB. Możliwość sterowania przyciskami na wybranych modułach. Możliwość podłączenia czytnika kodów kreskowych do portu USB.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2</w:t>
            </w:r>
            <w:r w:rsidR="001753D5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Możliwość zaprogramowania min. 8 różnych konfiguracji (profili) monitora, zawierających m.in. ustawienia monitorowanych parametrów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2</w:t>
            </w:r>
            <w:r w:rsidR="001753D5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Możliwość wyboru spośród przynajmniej 16 różnych układów (widoków) ekranu, z możliwością edycji i zapisu przynajmniej 6 z nich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753D5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3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D5" w:rsidRPr="001753D5" w:rsidRDefault="001753D5" w:rsidP="001753D5">
            <w:pPr>
              <w:pStyle w:val="Normalny1"/>
              <w:numPr>
                <w:ilvl w:val="0"/>
                <w:numId w:val="11"/>
              </w:numPr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eastAsia="Times New Roman" w:hAnsi="Times New Roman"/>
                <w:b/>
                <w:bCs/>
                <w:color w:val="000000"/>
              </w:rPr>
              <w:t>Moduł transportowy</w:t>
            </w: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2</w:t>
            </w:r>
            <w:r w:rsidR="001753D5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Moduł transportowy wyposażony we wbudowany ekran o przekątnej przynajmniej 6,2” z funkcją automatycznego dostosowania wyświetlania do położenia monitora, tzw. „flip-screen”, skokowo przynajmniej co 180°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2</w:t>
            </w:r>
            <w:r w:rsidR="001753D5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Moduł transportowy umożliwia jednoczesną prezentację przynajmniej 3 krzywych dynamicznych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2</w:t>
            </w:r>
            <w:r w:rsidR="001753D5">
              <w:rPr>
                <w:rFonts w:ascii="Times New Roman" w:eastAsia="Times New Roman" w:hAnsi="Times New Roman"/>
                <w:color w:val="000000"/>
              </w:rPr>
              <w:t>7.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Możliwość konfiguracji przynajmniej 2 widoków ekranu modułu transportowego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2</w:t>
            </w:r>
            <w:r w:rsidR="001753D5">
              <w:rPr>
                <w:rFonts w:ascii="Times New Roman" w:eastAsia="Times New Roman" w:hAnsi="Times New Roman"/>
                <w:color w:val="000000"/>
              </w:rPr>
              <w:t>8.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Moduł transportowy wyposażony we wbudowane zasilanie akumulatorowe na przynajmniej 4 godziny pracy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2</w:t>
            </w:r>
            <w:r w:rsidR="001753D5">
              <w:rPr>
                <w:rFonts w:ascii="Times New Roman" w:eastAsia="Times New Roman" w:hAnsi="Times New Roman"/>
                <w:color w:val="000000"/>
              </w:rPr>
              <w:t>9.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Moduł transportowy przystosowany do warunków transportowych, odporny na upadek z wysokości przynajmniej 1m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Moduł transportowy przystosowany do warunków transportowych, klasa odporności na zachlapanie wodą nie gorsza niż IPX1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hd w:val="clear" w:color="auto" w:fill="FFFF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3</w:t>
            </w:r>
            <w:r w:rsidR="001753D5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</w:rPr>
              <w:t>Dodatkowa odporność przeciwko wnikaniu ciał stałych nie gorsza niż IP4X, lub odporność na zachlapanie wodą nie gorsza niż IPX4.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3</w:t>
            </w:r>
            <w:r w:rsidR="001753D5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Masa modułu transportowego wraz z wbudowanym ekranem oraz akumulatorem poniżej 2kg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8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3</w:t>
            </w:r>
            <w:r w:rsidR="001753D5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Moduł transportowy umożliwia kontynuację monitorowania w czasie transportu przynajmniej następujących parametrów (zgodnie z ich wymogami opisanymi w dalszej części specyfikacji): EKG, SpO2, NIBP, 2x Temp., 2x IBP, CO2 w strumieniu bocznym, w zależności od podłączonych modułów pomiarowych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78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3</w:t>
            </w:r>
            <w:r w:rsidR="001753D5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Moduł transportowy zapewnia nieprzerwane monitorowanie w/w parametrów, a także przenoszenie pomiędzy stanowiskami: pamięci trendów i zdarzeń alarmowych, uzupełniając ją na nowym stanowisku o dane pozyskane w trakcie transportu.</w:t>
            </w:r>
          </w:p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</w:rPr>
              <w:t>Przenoszona zawartość pamięci uwzględnia trendy wszystkich parametrów obserwowanych na źródłowym monitorze.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753D5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3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D5" w:rsidRPr="001753D5" w:rsidRDefault="001753D5" w:rsidP="001753D5">
            <w:pPr>
              <w:pStyle w:val="Normalny1"/>
              <w:numPr>
                <w:ilvl w:val="0"/>
                <w:numId w:val="11"/>
              </w:numPr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eastAsia="Times New Roman" w:hAnsi="Times New Roman"/>
                <w:b/>
                <w:bCs/>
                <w:color w:val="000000"/>
              </w:rPr>
              <w:t>Monitorowane parametry</w:t>
            </w: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3</w:t>
            </w:r>
            <w:r w:rsidR="001753D5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EKG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3</w:t>
            </w:r>
            <w:r w:rsidR="001753D5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Monitorowanie przynajmniej 1 z 3, 7 i 12 odprowadzeń, z jakością diagnostyczną, w zależności od użytego przewodu EKG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3</w:t>
            </w:r>
            <w:r w:rsidR="001753D5">
              <w:rPr>
                <w:rFonts w:ascii="Times New Roman" w:eastAsia="Times New Roman" w:hAnsi="Times New Roman"/>
                <w:color w:val="000000"/>
              </w:rPr>
              <w:t>7.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Możliwość monitorowania 12 odprowadzeń EKG metodą obliczeniową, z ograniczonej liczby elektrod (nie więcej niż 6). Algorytm pomiarowy wykorzystuje standardowe rozmieszczenie elektrod na ciele pacjenta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3</w:t>
            </w:r>
            <w:r w:rsidR="001753D5">
              <w:rPr>
                <w:rFonts w:ascii="Times New Roman" w:eastAsia="Times New Roman" w:hAnsi="Times New Roman"/>
                <w:color w:val="000000"/>
              </w:rPr>
              <w:t>8.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Jednoczesna prezentacja przynajmniej 3 odprowadzeń EKG na ekranie głównym kardiomonitora (bez wykorzystania okna 12 odprowadzeń EKG)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Możliwość jednoczesnej prezentacji wszystkich 12 odprowadzeń EKG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4</w:t>
            </w:r>
            <w:r w:rsidR="001753D5">
              <w:rPr>
                <w:rFonts w:ascii="Times New Roman" w:eastAsia="Times New Roman" w:hAnsi="Times New Roman"/>
                <w:color w:val="000000"/>
              </w:rPr>
              <w:t>0.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częstości akcji serca w zakresie min. 20 - 300 ud/min.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5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4</w:t>
            </w:r>
            <w:r w:rsidR="001753D5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  <w:strike/>
              </w:rPr>
            </w:pPr>
            <w:r w:rsidRPr="001753D5">
              <w:rPr>
                <w:rFonts w:ascii="Times New Roman" w:eastAsia="Times New Roman" w:hAnsi="Times New Roman"/>
              </w:rPr>
              <w:t xml:space="preserve">Oferowany system monitorowania umożliwia rozbudowę o pomiar i opisową analizę EKG spoczynkowego z 12-odprowadzeń. 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4</w:t>
            </w:r>
            <w:r w:rsidR="001753D5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W komplecie do każdego monitora: przewód do podłączenia 3- i 6- elektrod dla dorosłych i dzieci. Długość przewodów przynajmniej 3m.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4</w:t>
            </w:r>
            <w:r w:rsidR="001753D5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Analiza arytmii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4</w:t>
            </w:r>
            <w:r w:rsidR="001753D5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Analiza arytmii w min. 2 odprowadzeniach EKG jednocześnie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056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4</w:t>
            </w:r>
            <w:r w:rsidR="001753D5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Zaawansowana analiza arytmii wg przynajmniej 13 definicji z rozpoznawaniem arytmii komorowych i przedsionkowych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4</w:t>
            </w:r>
            <w:r w:rsidR="001753D5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Analiza ST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4</w:t>
            </w:r>
            <w:r w:rsidR="001753D5">
              <w:rPr>
                <w:rFonts w:ascii="Times New Roman" w:eastAsia="Times New Roman" w:hAnsi="Times New Roman"/>
                <w:color w:val="000000"/>
              </w:rPr>
              <w:t>7.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Analiza odcinka ST ze wszystkich monitorowanych odprowadzeń (do 12)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Zakres pomiarowy analizy odcinka ST min. -15,0 -(+) 15,0 mm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Oddech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5</w:t>
            </w:r>
            <w:r w:rsidR="001753D5">
              <w:rPr>
                <w:rFonts w:ascii="Times New Roman" w:eastAsia="Times New Roman" w:hAnsi="Times New Roman"/>
                <w:color w:val="000000"/>
              </w:rPr>
              <w:t>0.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częstości oddechu metodą impedancyjną w zakresie min. 4-120 odd/min.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5</w:t>
            </w:r>
            <w:r w:rsidR="001753D5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 xml:space="preserve">Prezentacja częstości oddechu oraz krzywej oddechowej 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5</w:t>
            </w:r>
            <w:r w:rsidR="001753D5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Saturacja (SpO2)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5</w:t>
            </w:r>
            <w:r w:rsidR="001753D5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wysycenia hemoglobiny tlenem, z wykorzystaniem algorytmu odpornego na niską perfuzję i artefakty ruchowe: TruSignal lub Masimo rainbow SET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5</w:t>
            </w:r>
            <w:r w:rsidR="001753D5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saturacji w zakresie min. 70-100%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5</w:t>
            </w:r>
            <w:r w:rsidR="001753D5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Prezentacja wartości saturacji, krzywej pletyzmograficznej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5</w:t>
            </w:r>
            <w:r w:rsidR="001753D5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Możliwość wyboru SPO2 jako źródła częstości rytmu serca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Modulacja dźwięku tętna przy zmianie wartości % SpO2.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W komplecie do każdego monitora: przewód podłączeniowy dł. min. 3m oraz wielorazowy, czujnik na palec dla dorosłych. Oryginalne akcesoria pomiarowe producenta algorytmu pomiarowego.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ciśnienia metodą nieinwazyjną (NIBP)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6</w:t>
            </w:r>
            <w:r w:rsidR="001753D5">
              <w:rPr>
                <w:rFonts w:ascii="Times New Roman" w:eastAsia="Times New Roman" w:hAnsi="Times New Roman"/>
                <w:color w:val="000000"/>
              </w:rPr>
              <w:t>0.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ciśnienia tętniczego metodą oscylometryczną.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6</w:t>
            </w:r>
            <w:r w:rsidR="001753D5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ręczny na żądanie, ciągły przez określony czas oraz automatyczny. Zakres przedziałów czasowych w trybie automatycznym przynajmniej 1 - 240 minut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6</w:t>
            </w:r>
            <w:r w:rsidR="001753D5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ciśnienia w zakresie przynajmniej od 15 mmHg dla ciśnienia rozkurczowego do 250 mmHg dla ciśnienia skurczowego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6</w:t>
            </w:r>
            <w:r w:rsidR="001753D5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Prezentacja wartości: skurczowej, rozkurczowej oraz średniej.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6</w:t>
            </w:r>
            <w:r w:rsidR="001753D5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W komplecie do każdego monitora: wężyk z szybkozłączką dla dorosłych/dzieci oraz 3 mankiety wielorazowe dla dorosłych (w 3 różnych rozmiarach). Dodatkowo na całą instalację 20 szt. mankietów dla pacjentów otyłych.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6</w:t>
            </w:r>
            <w:r w:rsidR="001753D5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Temperatura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6</w:t>
            </w:r>
            <w:r w:rsidR="001753D5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temperatury w 2 kanałach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Jednoczesna prezentacja w polu parametru temperatury na ekranie głównym monitora stacjonarnego min. 3 wartości temperatury jednocześnie: obu zmierzonych i różnicy temperatur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W komplecie do każdego monitora: wielorazowy czujnik temperatury skóry dla dorosłych/dzieci oraz wielorazowy czujnik temperatury głębokiej dla dorosłych.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ciśnienia metodą inwazyjną (IBP)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7</w:t>
            </w:r>
            <w:r w:rsidR="001753D5">
              <w:rPr>
                <w:rFonts w:ascii="Times New Roman" w:eastAsia="Times New Roman" w:hAnsi="Times New Roman"/>
                <w:color w:val="000000"/>
              </w:rPr>
              <w:t>0.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ciśnienia metodą inwazyjną w 2 kanałach. Możliwość rozbudowy do przynajmniej 4 kanałów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7</w:t>
            </w:r>
            <w:r w:rsidR="001753D5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ciśnienia w zakresie przynajmniej -20 do 320 mmHg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7</w:t>
            </w:r>
            <w:r w:rsidR="001753D5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Możliwość monitorowania i wyboru nazw różnych ciśnień, w tym ciśnienia śródczaszkowego, wraz z automatycznym doborem skali i ustawień dla poszczególnych ciśnień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7</w:t>
            </w:r>
            <w:r w:rsidR="001753D5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PPV ręczny, w dedykowanej zakładce lub automatyczny, ciągły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7</w:t>
            </w:r>
            <w:r w:rsidR="001753D5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W komplecie do każdego monitora przewody do podłączenia przetworników Edwards (po jednym na każdy oferowany kanał)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7</w:t>
            </w:r>
            <w:r w:rsidR="001753D5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ciśnienia wewnątrzczaszkowego - 1 szt.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7</w:t>
            </w:r>
            <w:r w:rsidR="001753D5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z wykorzystaniem urządzenia podłączanego do oferowanego kardiomonitora, zapewniającego prezentację monitorowanych parametrów na jego ekranie.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Monitorowanie parametru CPP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W komplecie moduł zerujący, czujnik śródmiąższowy oraz zestaw DRILL/BOLT.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kapnografii (CO2)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8</w:t>
            </w:r>
            <w:r w:rsidR="001753D5">
              <w:rPr>
                <w:rFonts w:ascii="Times New Roman" w:eastAsia="Times New Roman" w:hAnsi="Times New Roman"/>
                <w:color w:val="000000"/>
              </w:rPr>
              <w:t>0.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stężenia dwutlenku węgla w wydychanym powietrzu metodą strumienia bocznego, u pacjentów zaintubowanych i niezaintubowanych, dostępny stacjonarnie</w:t>
            </w: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8</w:t>
            </w:r>
            <w:r w:rsidR="001753D5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</w:rPr>
              <w:t>Liczba modułów zapewniająca jednoczesny pomiar stacjonarnie na wszystkich stanowiskach oraz 1 dodatkowy moduł umożliwiający monitorowanie CO2 w transporcie (w przypadku braku możliwości wykorzystania w transporcie stacjonarnego modułu pomiarowego)</w:t>
            </w: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8</w:t>
            </w:r>
            <w:r w:rsidR="001753D5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W komplecie do każdego monitora komplet 10 akcesoriów jednorazowych do pomiaru u pacjentów zaintubowanych</w:t>
            </w: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8</w:t>
            </w:r>
            <w:r w:rsidR="001753D5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Ciągły rzut minutowy serca (CCO)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628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8</w:t>
            </w:r>
            <w:r w:rsidR="001753D5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 xml:space="preserve">Pomiar rzutu minutowego serca z wykorzystaniem cewnika Swana-Ganza. </w:t>
            </w:r>
          </w:p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628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8</w:t>
            </w:r>
            <w:r w:rsidR="001753D5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hAnsi="Times New Roman"/>
              </w:rPr>
              <w:t>Możliwość rozbudowy o monitor do oceny parametrów hemodynamicznych metodą termodylucji przezpłucnej, analizy krzywej ciśnienia tętniczego krwi.</w:t>
            </w:r>
          </w:p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Pomiar wykonywany przy pomocy zewnętrznego, dedykowanego urządzenia, z możliwością podłączenia do oferowanego systemu monitorowania w celu wyświetlania na ekranie mierzonych parametrów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hAnsi="Times New Roman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111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numPr>
                <w:ilvl w:val="0"/>
                <w:numId w:val="11"/>
              </w:numPr>
              <w:rPr>
                <w:rFonts w:ascii="Times New Roman" w:hAnsi="Times New Roman"/>
                <w:b/>
                <w:bCs/>
              </w:rPr>
            </w:pPr>
            <w:r w:rsidRPr="001753D5">
              <w:rPr>
                <w:rFonts w:ascii="Times New Roman" w:hAnsi="Times New Roman"/>
                <w:b/>
                <w:bCs/>
              </w:rPr>
              <w:t>Parametry dodatkowe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402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8</w:t>
            </w:r>
            <w:r w:rsidR="001753D5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Możliwość rozbudowy o pomiar zwiotczenia mięśni przez monitorowanie transmisji nerwowo-mięśniowej NMT. Pomiar metodą nie wymagającą detekcji ruchu mięśni na skutek stymulacji bodźcem elektrycznym. Sygnalizacja dźwiękowa impulsów stymulacji Rozbudowa realizowana w formie modułu lub urządzenia wolnostojącego z prezentacją pomiarów za pośrednictwem ekranu monitora pacjenta.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96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hd w:val="clear" w:color="auto" w:fill="FFFF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 xml:space="preserve">Możliwość rozbudowy o monitorowanie głębokości uśpienia. 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1753D5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3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D5" w:rsidRPr="001753D5" w:rsidRDefault="001753D5" w:rsidP="001753D5">
            <w:pPr>
              <w:pStyle w:val="Normalny1"/>
              <w:numPr>
                <w:ilvl w:val="0"/>
                <w:numId w:val="11"/>
              </w:numPr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eastAsia="Times New Roman" w:hAnsi="Times New Roman"/>
                <w:b/>
                <w:bCs/>
                <w:color w:val="000000"/>
              </w:rPr>
              <w:t>Alarmy</w:t>
            </w: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hd w:val="clear" w:color="auto" w:fill="FFFF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Możliwość zmiany priorytetu alarmów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9</w:t>
            </w:r>
            <w:r w:rsidR="001753D5">
              <w:rPr>
                <w:rFonts w:ascii="Times New Roman" w:eastAsia="Times New Roman" w:hAnsi="Times New Roman"/>
                <w:color w:val="000000"/>
              </w:rPr>
              <w:t>0.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Alarmy techniczne z podaniem przyczyny.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9</w:t>
            </w:r>
            <w:r w:rsidR="001753D5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Granice alarmowe regulowane ręcznie - przez użytkownika, i automatycznie (na żądanie) - na podstawie bieżących wartości parametrów.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9</w:t>
            </w:r>
            <w:r w:rsidR="001753D5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 xml:space="preserve">Możliwość </w:t>
            </w:r>
            <w:r w:rsidRPr="001753D5">
              <w:rPr>
                <w:rFonts w:ascii="Times New Roman" w:eastAsia="Times New Roman" w:hAnsi="Times New Roman"/>
              </w:rPr>
              <w:t>wyciszenia lub zawieszenia</w:t>
            </w:r>
            <w:r w:rsidRPr="001753D5">
              <w:rPr>
                <w:rFonts w:ascii="Times New Roman" w:eastAsia="Times New Roman" w:hAnsi="Times New Roman"/>
                <w:color w:val="000000"/>
              </w:rPr>
              <w:t xml:space="preserve"> alarmów. Regulacja czasu wyciszenia alarmów w zakresie przynajmniej: 2 i 5 minut oraz bez limitu czasowego.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Możliwość zablokowania funkcji całkowitego wyłączenia bądź wyciszenia alarmów - zabezpieczona hasłem.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5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Monitor wyposażony w pamięć przynajmniej 150 zdarzeń alarmowych zawierających wycinki krzywych dynamicznych. Zdarzenia zapisywane automatycznie - w chwili wystąpienia zdarzenia alarmowego, a także ręcznie - po naciśnięciu odpowiedniego przycisku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753D5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3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3D5" w:rsidRPr="001753D5" w:rsidRDefault="001753D5" w:rsidP="001753D5">
            <w:pPr>
              <w:pStyle w:val="Normalny1"/>
              <w:numPr>
                <w:ilvl w:val="0"/>
                <w:numId w:val="11"/>
              </w:numPr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eastAsia="Times New Roman" w:hAnsi="Times New Roman"/>
                <w:b/>
                <w:bCs/>
                <w:color w:val="000000"/>
              </w:rPr>
              <w:t>Trendy</w:t>
            </w: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95.</w:t>
            </w:r>
          </w:p>
        </w:tc>
        <w:tc>
          <w:tcPr>
            <w:tcW w:w="7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Stanowisko monitorowania pacjenta wyposażone w pamięć trendów z ostatnich min. 72 godzin z rozdzielczością 1-minutową.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96.</w:t>
            </w:r>
          </w:p>
        </w:tc>
        <w:tc>
          <w:tcPr>
            <w:tcW w:w="7944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Możliwość wyświetlania trendów w formie graficznej i tabelarycznej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1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1"/>
              </w:numPr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eastAsia="Times New Roman" w:hAnsi="Times New Roman"/>
                <w:b/>
                <w:bCs/>
                <w:color w:val="000000"/>
              </w:rPr>
              <w:t>Inne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784DA7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Obliczenia hemodynamiczne, utlenowania oraz wentylacji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784DA7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Kalkulator dawek leków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7944" w:type="dxa"/>
            <w:gridSpan w:val="4"/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2538" w:type="dxa"/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254" w:lineRule="auto"/>
              <w:rPr>
                <w:rFonts w:ascii="Times New Roman" w:hAnsi="Times New Roman"/>
              </w:rPr>
            </w:pPr>
          </w:p>
        </w:tc>
      </w:tr>
      <w:tr w:rsidR="00BB18EB" w:rsidRPr="001753D5" w:rsidTr="00BB18E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3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8EB" w:rsidRDefault="00BB18EB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BB18EB" w:rsidRPr="001753D5" w:rsidRDefault="00BB18EB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4.2 </w:t>
            </w:r>
            <w:r w:rsidRPr="001753D5">
              <w:rPr>
                <w:rFonts w:ascii="Times New Roman" w:eastAsia="Times New Roman" w:hAnsi="Times New Roman"/>
                <w:b/>
                <w:bCs/>
                <w:color w:val="000000"/>
              </w:rPr>
              <w:t>STANOWISKO CENTRALNEGO MONITOROWANIA PACJENTA DLA OIT</w:t>
            </w: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1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3"/>
              </w:numPr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eastAsia="Times New Roman" w:hAnsi="Times New Roman"/>
                <w:b/>
                <w:bCs/>
                <w:color w:val="000000"/>
              </w:rPr>
              <w:t>Opis ogólny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Stanowisko centralnego monitorowania w formie komputera z ekranem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Stanowisko centralnego monitorowania wyposażone w awaryjne podtrzymanie zasilania na przynajmniej 20 minut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Stanowisko centralnego monitorowania wyposażone 2 ekrany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Ekrany stanowiska centralnego monitorowania LCD, dotykowe, panoramiczne, o przekątnej min. 21". Rozdzielczość przynajmniej 1680x1050 pikseli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Sterowanie funkcjami centrali poprzez mysz i klawiaturę USB</w:t>
            </w:r>
            <w:r w:rsidRPr="001753D5">
              <w:rPr>
                <w:rFonts w:ascii="Times New Roman" w:eastAsia="Times New Roman" w:hAnsi="Times New Roman"/>
              </w:rPr>
              <w:t>. Możliwość rozbudowy o sterowanie dotykowe.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B18EB" w:rsidRPr="001753D5" w:rsidTr="00BB18E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3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8EB" w:rsidRPr="001753D5" w:rsidRDefault="00BB18EB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84DA7">
              <w:rPr>
                <w:rFonts w:ascii="Times New Roman" w:eastAsia="Times New Roman" w:hAnsi="Times New Roman"/>
                <w:b/>
                <w:bCs/>
                <w:color w:val="000000"/>
              </w:rPr>
              <w:t>Opis funkcjonalny</w:t>
            </w: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Stanowisko centralnego monitorowania zapewnia jednoczesny podgląd min 10 kardiomonitorów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Stanowisko centralnego monitorowania zapewnia jednoczesny podgląd min. 2 krzywych dynamicznych dla każdego monitorowanego pacjenta, na ekranie zbiorczego podglądu pacjentów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800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Stanowisko centralnego monitorowania umożliwia szczegółowy podgląd wybranego pacjenta: mierzone krzywe dynamiczne i skojarzone parametry, szczegółowy podgląd danych archiwalnych: trendów tablicowych, graficznych, pełnych przebiegów krzywych dynamicznych (Full Disclosure) oraz historii zdarzeń alarmowych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</w:rPr>
              <w:t>Podgląd wybranego monitora pacjenta realizowany na ekranie centrali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Stanowisko centralnego monitorowania umożliwia podgląd min. 72 godzin trendów dla każdego pacjenta. Trendy tabelaryczne oraz graficzne.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</w:rPr>
              <w:t>Stanowisko centralnego monitorowania wyposażone w pamięć pełnych przebiegów krzywych dynamicznych (Full Disclosure): min. 120 godzin przynajmniej czterech krzywych dynamicznych (nie tylko EKG) dla każdego pacjenta, z możliwością rozbudowy przynajmniej do 12</w:t>
            </w:r>
            <w:r w:rsidRP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Stanowisko centralnego monitorowania umożliwia wykonywanie szczegółowych pomiarów krzywych dynamicznych (w tym zespołów QRSz wykorzystaniem ekranowego narzędzia (np. suwmiarki).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 xml:space="preserve">Stanowisko centralnego monitorowania wyposażone w pamięć zdarzeń alarmowych: min. 1000 zdarzeń na każdego monitorowanego pacjenta.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Stanowisko centralnego monitorowania zapewnia wyświetlanie alarmów ze wszystkich monitorowanych łóżek. Alarmy przynajmniej 3-stopniowe, rozróżniane wizualnie i dźwiękowo, z identyfikacją alarmującego łóżka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Stanowisko centralnego monitorowania umożliwia konfigurację granic alarmowych, a także wyciszanie bieżących stanów alarmowych w monitorach pacjenta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195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Stanowisko centralnego monitorowania umożliwia zdalne przyjmowanie pacjenta w kardiomonitorze poprzez wprowadzenie jego danych demograficznych za pośrednictwem klawiatury. Wprowadzenie danych w centrali powoduje ich aktualizację na ekranie kardiomonitora.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71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System centralnego monitorowania umożliwia rozbudowę o funkcję pobierania danych demograficznych pacjenta ze szpitalnego systemu informatycznego (HIS), za pośrednictwem protokołu HL7, w celu uproszczenia procesu przyjęcia.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268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Stanowisko centralnego monitorowania umożliwia drukowanie raportów, trendów i zapisów za pomocą sieciowej drukarki laserowej. W ofercie ujęta drukarka sieciowa kompatybilna z centralą oraz oferowanymi kardiomonitorami – po jednej do każdego stanowiska centralnego monitorowania.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136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System centralnego monitorowania umożliwia rozbudowę o funkcję wysyłania parametrów życiowych monitorowanych przez oferowane kardiomonitory do szpitalnego systemu informatycznego, za pośrednictwem protokołu HL7, w celu ich archiwizacji.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686"/>
        </w:trPr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System centralnego monitorowania umożliwia rozbudowę o zdalny podgląd monitorowanych pacjentów w czasie zbliżonym do rzeczywistego, za pośrednictwem komputerów PC z systemem Windows podłączonych do sieci informatycznej szpitala. Dostępny podgląd bieżących wartości parametrów, podgląd krzywych dynamicznych, a także trendów tabelarycznych. W ofercie ujęte licencje zapewniające jednoczesny podgląd na 6 stanowiskach komputerowych.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128"/>
        </w:trPr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System centralnego monitorowania umożliwia wyświetlanie na ekranie centrali danych z urządzeń (min. respiratory, aparaty do znieczulania) podłączonych do oferowanych kardiomonitorów. Dane wyświetlane w formie przynajmniej: liczbowej oraz krzywych dynamicznych, zapisywane w pamięci centrali.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c>
          <w:tcPr>
            <w:tcW w:w="13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D24" w:rsidRPr="00784DA7" w:rsidRDefault="00691D24" w:rsidP="001753D5">
            <w:pPr>
              <w:pStyle w:val="Normalny1"/>
              <w:spacing w:line="25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4DA7">
              <w:rPr>
                <w:rFonts w:ascii="Times New Roman" w:hAnsi="Times New Roman"/>
                <w:b/>
                <w:bCs/>
              </w:rPr>
              <w:t>GWARANCJA i SERWIS</w:t>
            </w: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4"/>
              </w:num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line="100" w:lineRule="atLeast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hAnsi="Times New Roman"/>
              </w:rPr>
              <w:t>Pełna gwarancja (bez wyłączeń) na dostarczony sprzęt i oprogramowanie na okres minimum 24 miesięcy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>TAK</w:t>
            </w:r>
          </w:p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>podać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D24" w:rsidRPr="001753D5" w:rsidRDefault="00691D24" w:rsidP="001753D5">
            <w:pPr>
              <w:pStyle w:val="Normalny1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4"/>
              </w:num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line="100" w:lineRule="atLeast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hAnsi="Times New Roman"/>
              </w:rPr>
              <w:t>Czas reakcji na zgłoszenie usterki 24 godzin w dni robocze rozumiane jako dni od pn.-pt.  z wyłączeniem dni ustawowo wolnych od pracy. Czas reakcji w dni ustawowo wolne od pracy – 48 godzin.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D24" w:rsidRPr="001753D5" w:rsidRDefault="00691D24" w:rsidP="001753D5">
            <w:pPr>
              <w:pStyle w:val="Normalny1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4"/>
              </w:num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line="100" w:lineRule="atLeast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hAnsi="Times New Roman"/>
              </w:rPr>
              <w:t>Czas skutecznej naprawy bez użycia części zamiennych licząc od momentu zgłoszenia awarii – max 3 dni robocze rozumiane jako dni od pn.-pt. z wyłączeniem dni ustawowo wolnych od pracy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 xml:space="preserve">TAK </w:t>
            </w:r>
          </w:p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>podać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D24" w:rsidRPr="001753D5" w:rsidRDefault="00691D24" w:rsidP="001753D5">
            <w:pPr>
              <w:pStyle w:val="Normalny1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4"/>
              </w:num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line="100" w:lineRule="atLeast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hAnsi="Times New Roman"/>
              </w:rPr>
              <w:t>Czas skutecznej naprawy z użyciem  części zamiennych licząc od momentu zgłoszenia awarii – max 6 dni roboczych  rozumiane jako dni od pn.-pt. z wyłączeniem dni ustawowo wolnych od pracy.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 xml:space="preserve">TAK </w:t>
            </w:r>
          </w:p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>podać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D24" w:rsidRPr="001753D5" w:rsidRDefault="00691D24" w:rsidP="001753D5">
            <w:pPr>
              <w:pStyle w:val="Normalny1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4"/>
              </w:num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line="100" w:lineRule="atLeast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hAnsi="Times New Roman"/>
              </w:rPr>
              <w:t xml:space="preserve">W trakcie trwania gwarancji wszystkie naprawy oraz przeglądy techniczne przewidziane przez producenta wraz z materiałami zużywalnymi wykonywane na koszt Wykonawcy łącznie z dojazdem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 xml:space="preserve">TAK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D24" w:rsidRPr="001753D5" w:rsidRDefault="00691D24" w:rsidP="001753D5">
            <w:pPr>
              <w:pStyle w:val="Normalny1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4"/>
              </w:num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line="100" w:lineRule="atLeast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hAnsi="Times New Roman"/>
              </w:rPr>
              <w:t>Autoryzowane, posiadające stosowne uprawnienia punkty serwisowe na terenie Polski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 xml:space="preserve">TAK </w:t>
            </w:r>
          </w:p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>podać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D24" w:rsidRPr="001753D5" w:rsidRDefault="00691D24" w:rsidP="001753D5">
            <w:pPr>
              <w:pStyle w:val="Normalny1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4"/>
              </w:num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hAnsi="Times New Roman"/>
              </w:rPr>
              <w:t>Numer kontaktowy z serwisem Wykonawcy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 xml:space="preserve">TAK </w:t>
            </w:r>
          </w:p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>podać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D24" w:rsidRPr="001753D5" w:rsidRDefault="00691D24" w:rsidP="001753D5">
            <w:pPr>
              <w:pStyle w:val="Normalny1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4"/>
              </w:num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hAnsi="Times New Roman"/>
              </w:rPr>
              <w:t>Szkolenie w zakresie obsługi sprzętu w siedzibie zamawiającego dla personelu medycznego oraz technicznego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 xml:space="preserve">TAK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D24" w:rsidRPr="001753D5" w:rsidRDefault="00691D24" w:rsidP="001753D5">
            <w:pPr>
              <w:pStyle w:val="Normalny1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4"/>
              </w:num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hAnsi="Times New Roman"/>
              </w:rPr>
              <w:t>Instrukcja użytkowania w języku polskim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D24" w:rsidRPr="001753D5" w:rsidRDefault="00691D24" w:rsidP="001753D5">
            <w:pPr>
              <w:pStyle w:val="Normalny1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2AEB" w:rsidRDefault="00691D24" w:rsidP="00912AEB">
      <w:pPr>
        <w:rPr>
          <w:rFonts w:ascii="Times New Roman" w:hAnsi="Times New Roman" w:cs="Times New Roman"/>
          <w:b/>
        </w:rPr>
      </w:pPr>
      <w:r w:rsidRPr="001753D5">
        <w:rPr>
          <w:rFonts w:ascii="Times New Roman" w:hAnsi="Times New Roman" w:cs="Times New Roman"/>
          <w:b/>
        </w:rPr>
        <w:br w:type="page"/>
      </w:r>
    </w:p>
    <w:sectPr w:rsidR="00912AEB" w:rsidSect="00E111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8EB" w:rsidRDefault="00BB18EB">
      <w:pPr>
        <w:spacing w:after="0" w:line="240" w:lineRule="auto"/>
      </w:pPr>
      <w:r>
        <w:separator/>
      </w:r>
    </w:p>
  </w:endnote>
  <w:endnote w:type="continuationSeparator" w:id="0">
    <w:p w:rsidR="00BB18EB" w:rsidRDefault="00BB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, 'Arial Unicode MS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charset w:val="00"/>
    <w:family w:val="swiss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EB" w:rsidRDefault="00BB18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246622"/>
      <w:docPartObj>
        <w:docPartGallery w:val="Page Numbers (Bottom of Page)"/>
        <w:docPartUnique/>
      </w:docPartObj>
    </w:sdtPr>
    <w:sdtContent>
      <w:p w:rsidR="00BB18EB" w:rsidRDefault="00BB18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946">
          <w:rPr>
            <w:noProof/>
          </w:rPr>
          <w:t>1</w:t>
        </w:r>
        <w:r>
          <w:fldChar w:fldCharType="end"/>
        </w:r>
      </w:p>
    </w:sdtContent>
  </w:sdt>
  <w:p w:rsidR="00BB18EB" w:rsidRDefault="00BB18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EB" w:rsidRDefault="00BB18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8EB" w:rsidRDefault="00BB18EB">
      <w:pPr>
        <w:spacing w:after="0" w:line="240" w:lineRule="auto"/>
      </w:pPr>
      <w:r>
        <w:separator/>
      </w:r>
    </w:p>
  </w:footnote>
  <w:footnote w:type="continuationSeparator" w:id="0">
    <w:p w:rsidR="00BB18EB" w:rsidRDefault="00BB1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EB" w:rsidRDefault="00BB18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EB" w:rsidRDefault="00BB18EB">
    <w:pPr>
      <w:pStyle w:val="Nagwek"/>
    </w:pPr>
    <w:r w:rsidRPr="000B3D1D">
      <w:rPr>
        <w:noProof/>
        <w:lang w:eastAsia="pl-PL"/>
      </w:rPr>
      <w:drawing>
        <wp:inline distT="0" distB="0" distL="0" distR="0">
          <wp:extent cx="8801100" cy="819150"/>
          <wp:effectExtent l="19050" t="0" r="0" b="0"/>
          <wp:docPr id="1" name="Obraz 1" descr="C:\PROJEKTY\Bonifraci_szpital_wyposazenie_Katowice\WOP\1_WOP_24_05_2019\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KTY\Bonifraci_szpital_wyposazenie_Katowice\WOP\1_WOP_24_05_2019\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8191" cy="818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18EB" w:rsidRDefault="00BB18EB">
    <w:pPr>
      <w:pStyle w:val="Nagwek"/>
    </w:pPr>
  </w:p>
  <w:p w:rsidR="00BB18EB" w:rsidRDefault="00BB18EB" w:rsidP="009A52A0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EB" w:rsidRDefault="00BB18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536028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6412976"/>
    <w:multiLevelType w:val="multilevel"/>
    <w:tmpl w:val="AC04B044"/>
    <w:lvl w:ilvl="0">
      <w:start w:val="1"/>
      <w:numFmt w:val="decimal"/>
      <w:lvlText w:val="%1."/>
      <w:lvlJc w:val="center"/>
      <w:pPr>
        <w:ind w:left="288" w:firstLine="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0B7B2E"/>
    <w:multiLevelType w:val="hybridMultilevel"/>
    <w:tmpl w:val="A8F8A232"/>
    <w:lvl w:ilvl="0" w:tplc="2140F5A0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E6D67"/>
    <w:multiLevelType w:val="multilevel"/>
    <w:tmpl w:val="C18A72E4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B5C3E6E"/>
    <w:multiLevelType w:val="hybridMultilevel"/>
    <w:tmpl w:val="6D42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5291F"/>
    <w:multiLevelType w:val="multilevel"/>
    <w:tmpl w:val="80BE5D7E"/>
    <w:styleLink w:val="WW8Num12"/>
    <w:lvl w:ilvl="0">
      <w:start w:val="1"/>
      <w:numFmt w:val="none"/>
      <w:pStyle w:val="Lista-kontynuacja2"/>
      <w:lvlText w:val="%1"/>
      <w:lvlJc w:val="left"/>
      <w:pPr>
        <w:ind w:left="0" w:firstLine="0"/>
      </w:pPr>
    </w:lvl>
    <w:lvl w:ilvl="1">
      <w:start w:val="1"/>
      <w:numFmt w:val="decimal"/>
      <w:lvlText w:val=".%2"/>
      <w:lvlJc w:val="left"/>
      <w:pPr>
        <w:ind w:left="0" w:firstLine="0"/>
      </w:pPr>
    </w:lvl>
    <w:lvl w:ilvl="2">
      <w:start w:val="1"/>
      <w:numFmt w:val="decimal"/>
      <w:lvlText w:val=".%3"/>
      <w:lvlJc w:val="left"/>
      <w:pPr>
        <w:ind w:left="0" w:firstLine="0"/>
      </w:pPr>
    </w:lvl>
    <w:lvl w:ilvl="3">
      <w:start w:val="1"/>
      <w:numFmt w:val="decimal"/>
      <w:lvlText w:val=".%4"/>
      <w:lvlJc w:val="left"/>
      <w:pPr>
        <w:ind w:left="0" w:firstLine="0"/>
      </w:pPr>
    </w:lvl>
    <w:lvl w:ilvl="4">
      <w:start w:val="1"/>
      <w:numFmt w:val="decimal"/>
      <w:lvlText w:val=".%5"/>
      <w:lvlJc w:val="left"/>
      <w:pPr>
        <w:ind w:left="0" w:firstLine="0"/>
      </w:pPr>
    </w:lvl>
    <w:lvl w:ilvl="5">
      <w:start w:val="1"/>
      <w:numFmt w:val="decimal"/>
      <w:lvlText w:val=".%6"/>
      <w:lvlJc w:val="left"/>
      <w:pPr>
        <w:ind w:left="0" w:firstLine="0"/>
      </w:pPr>
    </w:lvl>
    <w:lvl w:ilvl="6">
      <w:start w:val="1"/>
      <w:numFmt w:val="decimal"/>
      <w:lvlText w:val=".%7"/>
      <w:lvlJc w:val="left"/>
      <w:pPr>
        <w:ind w:left="0" w:firstLine="0"/>
      </w:pPr>
    </w:lvl>
    <w:lvl w:ilvl="7">
      <w:start w:val="1"/>
      <w:numFmt w:val="decimal"/>
      <w:lvlText w:val=".%8"/>
      <w:lvlJc w:val="left"/>
      <w:pPr>
        <w:ind w:left="0" w:firstLine="0"/>
      </w:pPr>
    </w:lvl>
    <w:lvl w:ilvl="8">
      <w:start w:val="1"/>
      <w:numFmt w:val="decimal"/>
      <w:lvlText w:val=".%9"/>
      <w:lvlJc w:val="left"/>
      <w:pPr>
        <w:ind w:left="0" w:firstLine="0"/>
      </w:pPr>
    </w:lvl>
  </w:abstractNum>
  <w:abstractNum w:abstractNumId="8" w15:restartNumberingAfterBreak="0">
    <w:nsid w:val="288E79DC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3162" w:hanging="360"/>
      </w:pPr>
    </w:lvl>
    <w:lvl w:ilvl="1" w:tplc="04150019" w:tentative="1">
      <w:start w:val="1"/>
      <w:numFmt w:val="lowerLetter"/>
      <w:lvlText w:val="%2."/>
      <w:lvlJc w:val="left"/>
      <w:pPr>
        <w:ind w:left="3882" w:hanging="360"/>
      </w:pPr>
    </w:lvl>
    <w:lvl w:ilvl="2" w:tplc="0415001B" w:tentative="1">
      <w:start w:val="1"/>
      <w:numFmt w:val="lowerRoman"/>
      <w:lvlText w:val="%3."/>
      <w:lvlJc w:val="right"/>
      <w:pPr>
        <w:ind w:left="4602" w:hanging="180"/>
      </w:pPr>
    </w:lvl>
    <w:lvl w:ilvl="3" w:tplc="0415000F" w:tentative="1">
      <w:start w:val="1"/>
      <w:numFmt w:val="decimal"/>
      <w:lvlText w:val="%4."/>
      <w:lvlJc w:val="left"/>
      <w:pPr>
        <w:ind w:left="5322" w:hanging="360"/>
      </w:pPr>
    </w:lvl>
    <w:lvl w:ilvl="4" w:tplc="04150019" w:tentative="1">
      <w:start w:val="1"/>
      <w:numFmt w:val="lowerLetter"/>
      <w:lvlText w:val="%5."/>
      <w:lvlJc w:val="left"/>
      <w:pPr>
        <w:ind w:left="6042" w:hanging="360"/>
      </w:pPr>
    </w:lvl>
    <w:lvl w:ilvl="5" w:tplc="0415001B" w:tentative="1">
      <w:start w:val="1"/>
      <w:numFmt w:val="lowerRoman"/>
      <w:lvlText w:val="%6."/>
      <w:lvlJc w:val="right"/>
      <w:pPr>
        <w:ind w:left="6762" w:hanging="180"/>
      </w:pPr>
    </w:lvl>
    <w:lvl w:ilvl="6" w:tplc="0415000F" w:tentative="1">
      <w:start w:val="1"/>
      <w:numFmt w:val="decimal"/>
      <w:lvlText w:val="%7."/>
      <w:lvlJc w:val="left"/>
      <w:pPr>
        <w:ind w:left="7482" w:hanging="360"/>
      </w:pPr>
    </w:lvl>
    <w:lvl w:ilvl="7" w:tplc="04150019" w:tentative="1">
      <w:start w:val="1"/>
      <w:numFmt w:val="lowerLetter"/>
      <w:lvlText w:val="%8."/>
      <w:lvlJc w:val="left"/>
      <w:pPr>
        <w:ind w:left="8202" w:hanging="360"/>
      </w:pPr>
    </w:lvl>
    <w:lvl w:ilvl="8" w:tplc="0415001B" w:tentative="1">
      <w:start w:val="1"/>
      <w:numFmt w:val="lowerRoman"/>
      <w:lvlText w:val="%9."/>
      <w:lvlJc w:val="right"/>
      <w:pPr>
        <w:ind w:left="8922" w:hanging="180"/>
      </w:pPr>
    </w:lvl>
  </w:abstractNum>
  <w:abstractNum w:abstractNumId="9" w15:restartNumberingAfterBreak="0">
    <w:nsid w:val="32397DCD"/>
    <w:multiLevelType w:val="hybridMultilevel"/>
    <w:tmpl w:val="E9B68C5A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>
      <w:start w:val="1"/>
      <w:numFmt w:val="lowerRoman"/>
      <w:lvlText w:val="%3."/>
      <w:lvlJc w:val="right"/>
      <w:pPr>
        <w:ind w:left="1801" w:hanging="180"/>
      </w:pPr>
    </w:lvl>
    <w:lvl w:ilvl="3" w:tplc="0415000F">
      <w:start w:val="1"/>
      <w:numFmt w:val="decimal"/>
      <w:lvlText w:val="%4."/>
      <w:lvlJc w:val="left"/>
      <w:pPr>
        <w:ind w:left="2521" w:hanging="360"/>
      </w:pPr>
    </w:lvl>
    <w:lvl w:ilvl="4" w:tplc="04150019">
      <w:start w:val="1"/>
      <w:numFmt w:val="lowerLetter"/>
      <w:lvlText w:val="%5."/>
      <w:lvlJc w:val="left"/>
      <w:pPr>
        <w:ind w:left="3241" w:hanging="360"/>
      </w:pPr>
    </w:lvl>
    <w:lvl w:ilvl="5" w:tplc="0415001B">
      <w:start w:val="1"/>
      <w:numFmt w:val="lowerRoman"/>
      <w:lvlText w:val="%6."/>
      <w:lvlJc w:val="right"/>
      <w:pPr>
        <w:ind w:left="3961" w:hanging="180"/>
      </w:pPr>
    </w:lvl>
    <w:lvl w:ilvl="6" w:tplc="0415000F">
      <w:start w:val="1"/>
      <w:numFmt w:val="decimal"/>
      <w:lvlText w:val="%7."/>
      <w:lvlJc w:val="left"/>
      <w:pPr>
        <w:ind w:left="4681" w:hanging="360"/>
      </w:pPr>
    </w:lvl>
    <w:lvl w:ilvl="7" w:tplc="04150019">
      <w:start w:val="1"/>
      <w:numFmt w:val="lowerLetter"/>
      <w:lvlText w:val="%8."/>
      <w:lvlJc w:val="left"/>
      <w:pPr>
        <w:ind w:left="5401" w:hanging="360"/>
      </w:pPr>
    </w:lvl>
    <w:lvl w:ilvl="8" w:tplc="0415001B">
      <w:start w:val="1"/>
      <w:numFmt w:val="lowerRoman"/>
      <w:lvlText w:val="%9."/>
      <w:lvlJc w:val="right"/>
      <w:pPr>
        <w:ind w:left="6121" w:hanging="180"/>
      </w:pPr>
    </w:lvl>
  </w:abstractNum>
  <w:abstractNum w:abstractNumId="10" w15:restartNumberingAfterBreak="0">
    <w:nsid w:val="350D618E"/>
    <w:multiLevelType w:val="multilevel"/>
    <w:tmpl w:val="9EA4A348"/>
    <w:styleLink w:val="WW8Num1"/>
    <w:lvl w:ilvl="0">
      <w:start w:val="1"/>
      <w:numFmt w:val="decimal"/>
      <w:lvlText w:val="*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71833FC"/>
    <w:multiLevelType w:val="hybridMultilevel"/>
    <w:tmpl w:val="091CB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11B1C"/>
    <w:multiLevelType w:val="multilevel"/>
    <w:tmpl w:val="886E5A78"/>
    <w:styleLink w:val="WW8Num5"/>
    <w:lvl w:ilvl="0">
      <w:start w:val="1"/>
      <w:numFmt w:val="decimal"/>
      <w:lvlText w:val="%1."/>
      <w:lvlJc w:val="left"/>
      <w:pPr>
        <w:ind w:left="340" w:hanging="283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509E1"/>
    <w:multiLevelType w:val="hybridMultilevel"/>
    <w:tmpl w:val="8B8A9332"/>
    <w:lvl w:ilvl="0" w:tplc="B5029282">
      <w:start w:val="1"/>
      <w:numFmt w:val="decimal"/>
      <w:lvlText w:val="%1."/>
      <w:lvlJc w:val="center"/>
      <w:pPr>
        <w:tabs>
          <w:tab w:val="num" w:pos="72"/>
        </w:tabs>
        <w:ind w:left="72" w:firstLine="216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E11414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53B20C39"/>
    <w:multiLevelType w:val="hybridMultilevel"/>
    <w:tmpl w:val="7C100AC0"/>
    <w:lvl w:ilvl="0" w:tplc="CA384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22201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589D421E"/>
    <w:multiLevelType w:val="multilevel"/>
    <w:tmpl w:val="5CE0708C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594A428E"/>
    <w:multiLevelType w:val="hybridMultilevel"/>
    <w:tmpl w:val="AAA4E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221EE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5F0218ED"/>
    <w:multiLevelType w:val="multilevel"/>
    <w:tmpl w:val="FA1A73B6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ascii="Calibri" w:hAnsi="Calibri"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BE62A8C"/>
    <w:multiLevelType w:val="multilevel"/>
    <w:tmpl w:val="0BE6D95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22" w15:restartNumberingAfterBreak="0">
    <w:nsid w:val="6CD857F5"/>
    <w:multiLevelType w:val="hybridMultilevel"/>
    <w:tmpl w:val="B8DC6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064B4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701D5474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3162" w:hanging="360"/>
      </w:pPr>
    </w:lvl>
    <w:lvl w:ilvl="1" w:tplc="04150019">
      <w:start w:val="1"/>
      <w:numFmt w:val="lowerLetter"/>
      <w:lvlText w:val="%2."/>
      <w:lvlJc w:val="left"/>
      <w:pPr>
        <w:ind w:left="3882" w:hanging="360"/>
      </w:pPr>
    </w:lvl>
    <w:lvl w:ilvl="2" w:tplc="0415001B">
      <w:start w:val="1"/>
      <w:numFmt w:val="lowerRoman"/>
      <w:lvlText w:val="%3."/>
      <w:lvlJc w:val="right"/>
      <w:pPr>
        <w:ind w:left="4602" w:hanging="180"/>
      </w:pPr>
    </w:lvl>
    <w:lvl w:ilvl="3" w:tplc="0415000F">
      <w:start w:val="1"/>
      <w:numFmt w:val="decimal"/>
      <w:lvlText w:val="%4."/>
      <w:lvlJc w:val="left"/>
      <w:pPr>
        <w:ind w:left="5322" w:hanging="360"/>
      </w:pPr>
    </w:lvl>
    <w:lvl w:ilvl="4" w:tplc="04150019">
      <w:start w:val="1"/>
      <w:numFmt w:val="lowerLetter"/>
      <w:lvlText w:val="%5."/>
      <w:lvlJc w:val="left"/>
      <w:pPr>
        <w:ind w:left="6042" w:hanging="360"/>
      </w:pPr>
    </w:lvl>
    <w:lvl w:ilvl="5" w:tplc="0415001B">
      <w:start w:val="1"/>
      <w:numFmt w:val="lowerRoman"/>
      <w:lvlText w:val="%6."/>
      <w:lvlJc w:val="right"/>
      <w:pPr>
        <w:ind w:left="6762" w:hanging="180"/>
      </w:pPr>
    </w:lvl>
    <w:lvl w:ilvl="6" w:tplc="0415000F">
      <w:start w:val="1"/>
      <w:numFmt w:val="decimal"/>
      <w:lvlText w:val="%7."/>
      <w:lvlJc w:val="left"/>
      <w:pPr>
        <w:ind w:left="7482" w:hanging="360"/>
      </w:pPr>
    </w:lvl>
    <w:lvl w:ilvl="7" w:tplc="04150019">
      <w:start w:val="1"/>
      <w:numFmt w:val="lowerLetter"/>
      <w:lvlText w:val="%8."/>
      <w:lvlJc w:val="left"/>
      <w:pPr>
        <w:ind w:left="8202" w:hanging="360"/>
      </w:pPr>
    </w:lvl>
    <w:lvl w:ilvl="8" w:tplc="0415001B">
      <w:start w:val="1"/>
      <w:numFmt w:val="lowerRoman"/>
      <w:lvlText w:val="%9."/>
      <w:lvlJc w:val="right"/>
      <w:pPr>
        <w:ind w:left="8922" w:hanging="180"/>
      </w:pPr>
    </w:lvl>
  </w:abstractNum>
  <w:abstractNum w:abstractNumId="25" w15:restartNumberingAfterBreak="0">
    <w:nsid w:val="7D172014"/>
    <w:multiLevelType w:val="hybridMultilevel"/>
    <w:tmpl w:val="4650BEC4"/>
    <w:lvl w:ilvl="0" w:tplc="E0ACE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B4E92"/>
    <w:multiLevelType w:val="hybridMultilevel"/>
    <w:tmpl w:val="34120364"/>
    <w:lvl w:ilvl="0" w:tplc="89F4BC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0"/>
  </w:num>
  <w:num w:numId="5">
    <w:abstractNumId w:val="0"/>
  </w:num>
  <w:num w:numId="6">
    <w:abstractNumId w:val="1"/>
  </w:num>
  <w:num w:numId="7">
    <w:abstractNumId w:val="12"/>
  </w:num>
  <w:num w:numId="8">
    <w:abstractNumId w:val="10"/>
  </w:num>
  <w:num w:numId="9">
    <w:abstractNumId w:val="21"/>
  </w:num>
  <w:num w:numId="10">
    <w:abstractNumId w:val="2"/>
  </w:num>
  <w:num w:numId="11">
    <w:abstractNumId w:val="15"/>
  </w:num>
  <w:num w:numId="12">
    <w:abstractNumId w:val="11"/>
  </w:num>
  <w:num w:numId="13">
    <w:abstractNumId w:val="26"/>
  </w:num>
  <w:num w:numId="14">
    <w:abstractNumId w:val="22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"/>
  </w:num>
  <w:num w:numId="20">
    <w:abstractNumId w:val="25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8"/>
  </w:num>
  <w:num w:numId="24">
    <w:abstractNumId w:val="6"/>
  </w:num>
  <w:num w:numId="25">
    <w:abstractNumId w:val="24"/>
  </w:num>
  <w:num w:numId="26">
    <w:abstractNumId w:val="13"/>
  </w:num>
  <w:num w:numId="27">
    <w:abstractNumId w:val="17"/>
  </w:num>
  <w:num w:numId="28">
    <w:abstractNumId w:val="23"/>
    <w:lvlOverride w:ilvl="0">
      <w:startOverride w:val="1"/>
    </w:lvlOverride>
  </w:num>
  <w:num w:numId="2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E6"/>
    <w:rsid w:val="00021801"/>
    <w:rsid w:val="000A5A48"/>
    <w:rsid w:val="000B3D1D"/>
    <w:rsid w:val="000D4396"/>
    <w:rsid w:val="000E56DD"/>
    <w:rsid w:val="00122946"/>
    <w:rsid w:val="001753D5"/>
    <w:rsid w:val="0029445E"/>
    <w:rsid w:val="00312A74"/>
    <w:rsid w:val="003670B1"/>
    <w:rsid w:val="00691D24"/>
    <w:rsid w:val="00691F86"/>
    <w:rsid w:val="006D0F79"/>
    <w:rsid w:val="007841B9"/>
    <w:rsid w:val="00784DA7"/>
    <w:rsid w:val="00912AEB"/>
    <w:rsid w:val="009A52A0"/>
    <w:rsid w:val="009D15E8"/>
    <w:rsid w:val="00AE32CB"/>
    <w:rsid w:val="00B03C1D"/>
    <w:rsid w:val="00BB18EB"/>
    <w:rsid w:val="00BD590E"/>
    <w:rsid w:val="00BF07A5"/>
    <w:rsid w:val="00BF22FA"/>
    <w:rsid w:val="00C57697"/>
    <w:rsid w:val="00D01E44"/>
    <w:rsid w:val="00D0539C"/>
    <w:rsid w:val="00E111E6"/>
    <w:rsid w:val="00E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FB8CB-55BB-404F-A975-009E026C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1E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11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3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111E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32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32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11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32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11E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111E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111E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msonormal0">
    <w:name w:val="msonormal"/>
    <w:basedOn w:val="Normalny"/>
    <w:rsid w:val="00E1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1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1E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1E6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1E6"/>
  </w:style>
  <w:style w:type="paragraph" w:styleId="Stopka">
    <w:name w:val="footer"/>
    <w:basedOn w:val="Normalny"/>
    <w:link w:val="StopkaZnak"/>
    <w:uiPriority w:val="99"/>
    <w:unhideWhenUsed/>
    <w:rsid w:val="00E111E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111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-kontynuacja">
    <w:name w:val="List Continue"/>
    <w:basedOn w:val="Normalny"/>
    <w:uiPriority w:val="99"/>
    <w:semiHidden/>
    <w:unhideWhenUsed/>
    <w:rsid w:val="00E111E6"/>
    <w:pPr>
      <w:spacing w:after="120"/>
      <w:ind w:left="283"/>
      <w:contextualSpacing/>
    </w:pPr>
  </w:style>
  <w:style w:type="paragraph" w:styleId="Lista-kontynuacja2">
    <w:name w:val="List Continue 2"/>
    <w:basedOn w:val="Lista-kontynuacja"/>
    <w:unhideWhenUsed/>
    <w:rsid w:val="00E111E6"/>
    <w:pPr>
      <w:widowControl w:val="0"/>
      <w:numPr>
        <w:numId w:val="3"/>
      </w:numPr>
      <w:tabs>
        <w:tab w:val="num" w:pos="360"/>
        <w:tab w:val="num" w:pos="720"/>
      </w:tabs>
      <w:suppressAutoHyphens/>
      <w:autoSpaceDN w:val="0"/>
      <w:spacing w:after="160" w:line="240" w:lineRule="auto"/>
      <w:ind w:left="1080" w:hanging="360"/>
      <w:contextualSpacing w:val="0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1E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1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1E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1E6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qFormat/>
    <w:rsid w:val="00E111E6"/>
    <w:pPr>
      <w:ind w:left="720"/>
      <w:contextualSpacing/>
    </w:pPr>
  </w:style>
  <w:style w:type="paragraph" w:customStyle="1" w:styleId="Style10">
    <w:name w:val="Style10"/>
    <w:basedOn w:val="Normalny"/>
    <w:rsid w:val="00E111E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andard">
    <w:name w:val="Standard"/>
    <w:rsid w:val="00E111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111E6"/>
    <w:pPr>
      <w:suppressLineNumbers/>
    </w:pPr>
  </w:style>
  <w:style w:type="paragraph" w:customStyle="1" w:styleId="Default">
    <w:name w:val="Default"/>
    <w:rsid w:val="00E11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egenda1">
    <w:name w:val="Legenda1"/>
    <w:basedOn w:val="Normalny"/>
    <w:next w:val="Normalny"/>
    <w:rsid w:val="00E111E6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/>
      <w:bCs/>
      <w:kern w:val="2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E111E6"/>
    <w:pPr>
      <w:spacing w:line="240" w:lineRule="auto"/>
      <w:ind w:left="720"/>
      <w:contextualSpacing/>
    </w:pPr>
    <w:rPr>
      <w:rFonts w:ascii="Calibri" w:eastAsia="Calibri" w:hAnsi="Calibri" w:cs="Calibri"/>
      <w:lang w:eastAsia="pl-PL"/>
    </w:rPr>
  </w:style>
  <w:style w:type="paragraph" w:customStyle="1" w:styleId="Pa4">
    <w:name w:val="Pa4"/>
    <w:basedOn w:val="Normalny"/>
    <w:uiPriority w:val="99"/>
    <w:qFormat/>
    <w:rsid w:val="00E111E6"/>
    <w:pPr>
      <w:suppressAutoHyphens/>
      <w:spacing w:after="0" w:line="201" w:lineRule="atLeast"/>
    </w:pPr>
    <w:rPr>
      <w:rFonts w:ascii="Times New Roman" w:eastAsia="Courier New" w:hAnsi="Times New Roman" w:cs="Times New Roman"/>
      <w:kern w:val="2"/>
      <w:sz w:val="24"/>
      <w:szCs w:val="24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11E6"/>
    <w:rPr>
      <w:sz w:val="18"/>
      <w:szCs w:val="18"/>
    </w:rPr>
  </w:style>
  <w:style w:type="character" w:customStyle="1" w:styleId="Stylwiadomocie-mail18">
    <w:name w:val="Styl wiadomości e-mail 18"/>
    <w:uiPriority w:val="99"/>
    <w:semiHidden/>
    <w:rsid w:val="00E111E6"/>
    <w:rPr>
      <w:rFonts w:ascii="Arial" w:hAnsi="Arial" w:cs="Arial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11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">
    <w:name w:val="WW8Num12"/>
    <w:rsid w:val="00E111E6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32C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32C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E32C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32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1"/>
    <w:qFormat/>
    <w:rsid w:val="00AE32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E32CB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TableNormal">
    <w:name w:val="Table Normal"/>
    <w:uiPriority w:val="2"/>
    <w:unhideWhenUsed/>
    <w:qFormat/>
    <w:rsid w:val="00AE32C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basedOn w:val="Normalny"/>
    <w:uiPriority w:val="1"/>
    <w:qFormat/>
    <w:rsid w:val="00AE32CB"/>
    <w:pPr>
      <w:widowControl w:val="0"/>
      <w:spacing w:after="0" w:line="240" w:lineRule="auto"/>
      <w:ind w:left="2944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Nagwek21">
    <w:name w:val="Nagłówek 21"/>
    <w:basedOn w:val="Normalny"/>
    <w:uiPriority w:val="1"/>
    <w:qFormat/>
    <w:rsid w:val="00AE32CB"/>
    <w:pPr>
      <w:widowControl w:val="0"/>
      <w:spacing w:after="0" w:line="240" w:lineRule="auto"/>
      <w:ind w:left="700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AE32CB"/>
    <w:pPr>
      <w:widowControl w:val="0"/>
      <w:spacing w:after="0" w:line="240" w:lineRule="auto"/>
    </w:pPr>
    <w:rPr>
      <w:lang w:val="en-US"/>
    </w:rPr>
  </w:style>
  <w:style w:type="numbering" w:customStyle="1" w:styleId="WW8Num5">
    <w:name w:val="WW8Num5"/>
    <w:rsid w:val="00AE32CB"/>
    <w:pPr>
      <w:numPr>
        <w:numId w:val="7"/>
      </w:numPr>
    </w:pPr>
  </w:style>
  <w:style w:type="numbering" w:customStyle="1" w:styleId="WW8Num1">
    <w:name w:val="WW8Num1"/>
    <w:basedOn w:val="Bezlisty"/>
    <w:rsid w:val="00AE32CB"/>
    <w:pPr>
      <w:numPr>
        <w:numId w:val="8"/>
      </w:numPr>
    </w:pPr>
  </w:style>
  <w:style w:type="numbering" w:customStyle="1" w:styleId="WW8Num3">
    <w:name w:val="WW8Num3"/>
    <w:rsid w:val="00AE32CB"/>
    <w:pPr>
      <w:numPr>
        <w:numId w:val="9"/>
      </w:numPr>
    </w:pPr>
  </w:style>
  <w:style w:type="character" w:customStyle="1" w:styleId="Domylnaczcionkaakapitu1">
    <w:name w:val="Domyślna czcionka akapitu1"/>
    <w:rsid w:val="00691D24"/>
  </w:style>
  <w:style w:type="paragraph" w:customStyle="1" w:styleId="Normalny1">
    <w:name w:val="Normalny1"/>
    <w:rsid w:val="00691D2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2989</Words>
  <Characters>17938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Joanna Jasik</cp:lastModifiedBy>
  <cp:revision>2</cp:revision>
  <dcterms:created xsi:type="dcterms:W3CDTF">2020-07-05T19:49:00Z</dcterms:created>
  <dcterms:modified xsi:type="dcterms:W3CDTF">2020-07-05T19:49:00Z</dcterms:modified>
</cp:coreProperties>
</file>