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C78E" w14:textId="77777777" w:rsidR="00CD11EF" w:rsidRDefault="00CD11EF" w:rsidP="00F03ED1">
      <w:pPr>
        <w:autoSpaceDE w:val="0"/>
        <w:autoSpaceDN w:val="0"/>
        <w:spacing w:line="240" w:lineRule="auto"/>
        <w:jc w:val="both"/>
        <w:rPr>
          <w:rFonts w:ascii="Cambria" w:eastAsia="Times New Roman" w:hAnsi="Cambria" w:cs="Liberation Sans"/>
          <w:color w:val="000000"/>
          <w:lang w:eastAsia="pl-PL"/>
        </w:rPr>
      </w:pPr>
    </w:p>
    <w:p w14:paraId="38D37617" w14:textId="65D20AB2" w:rsidR="00CD11EF" w:rsidRDefault="00CD11EF" w:rsidP="00CD11EF">
      <w:pPr>
        <w:autoSpaceDE w:val="0"/>
        <w:autoSpaceDN w:val="0"/>
        <w:spacing w:line="240" w:lineRule="auto"/>
        <w:jc w:val="right"/>
        <w:rPr>
          <w:rFonts w:ascii="Cambria" w:eastAsia="Times New Roman" w:hAnsi="Cambria" w:cs="Liberation Sans"/>
          <w:color w:val="000000"/>
          <w:lang w:eastAsia="pl-PL"/>
        </w:rPr>
      </w:pPr>
      <w:r>
        <w:rPr>
          <w:rFonts w:ascii="Cambria" w:eastAsia="Times New Roman" w:hAnsi="Cambria" w:cs="Liberation Sans"/>
          <w:color w:val="000000"/>
          <w:lang w:eastAsia="pl-PL"/>
        </w:rPr>
        <w:t>Katowice, 15.05.2020r.</w:t>
      </w:r>
    </w:p>
    <w:p w14:paraId="46207269" w14:textId="540CBC19" w:rsidR="00CD11EF" w:rsidRDefault="00CD11EF" w:rsidP="00CD11EF">
      <w:pPr>
        <w:autoSpaceDE w:val="0"/>
        <w:autoSpaceDN w:val="0"/>
        <w:spacing w:line="240" w:lineRule="auto"/>
        <w:rPr>
          <w:rFonts w:ascii="Cambria" w:eastAsia="Times New Roman" w:hAnsi="Cambria" w:cs="Liberation Sans"/>
          <w:color w:val="000000"/>
          <w:lang w:eastAsia="pl-PL"/>
        </w:rPr>
      </w:pPr>
      <w:r>
        <w:rPr>
          <w:rFonts w:ascii="Cambria" w:eastAsia="Times New Roman" w:hAnsi="Cambria" w:cs="Liberation Sans"/>
          <w:color w:val="000000"/>
          <w:lang w:eastAsia="pl-PL"/>
        </w:rPr>
        <w:t>TG/82/14/2020</w:t>
      </w:r>
    </w:p>
    <w:p w14:paraId="0BF883EC" w14:textId="3D698D79" w:rsidR="003E15A6" w:rsidRPr="0046246B" w:rsidRDefault="00CD11EF" w:rsidP="0046246B">
      <w:pPr>
        <w:autoSpaceDE w:val="0"/>
        <w:autoSpaceDN w:val="0"/>
        <w:spacing w:line="240" w:lineRule="auto"/>
        <w:jc w:val="center"/>
        <w:rPr>
          <w:rFonts w:ascii="Cambria" w:eastAsia="Times New Roman" w:hAnsi="Cambria" w:cs="Liberation Sans"/>
          <w:color w:val="000000"/>
          <w:lang w:eastAsia="pl-PL"/>
        </w:rPr>
      </w:pPr>
      <w:r>
        <w:rPr>
          <w:rFonts w:ascii="Cambria" w:eastAsia="Times New Roman" w:hAnsi="Cambria" w:cs="Liberation Sans"/>
          <w:color w:val="000000"/>
          <w:lang w:eastAsia="pl-PL"/>
        </w:rPr>
        <w:t>ODPOWIEDZI DO PAKIETU nr 4 – część 2</w:t>
      </w:r>
    </w:p>
    <w:p w14:paraId="57E9A4C3" w14:textId="77777777" w:rsidR="003E15A6" w:rsidRDefault="003E15A6" w:rsidP="00C96FFC">
      <w:pPr>
        <w:autoSpaceDE w:val="0"/>
        <w:autoSpaceDN w:val="0"/>
        <w:spacing w:line="240" w:lineRule="auto"/>
        <w:jc w:val="both"/>
        <w:rPr>
          <w:rFonts w:ascii="Cambria" w:eastAsia="Times New Roman" w:hAnsi="Cambria" w:cs="Liberation Sans"/>
          <w:color w:val="FF0000"/>
          <w:lang w:eastAsia="pl-PL"/>
        </w:rPr>
      </w:pPr>
    </w:p>
    <w:p w14:paraId="0AF813EF" w14:textId="77777777" w:rsidR="00FB109E" w:rsidRPr="00CD11EF" w:rsidRDefault="00FB109E" w:rsidP="00C96FFC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</w:p>
    <w:p w14:paraId="2276D41C" w14:textId="0FDA6D24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18 Uprzejmie prosimy o podanie producenta i modelu posiadanych kolumn – pozwoli to na wycenę i zaoferowanie odpowiednich uchwytów montażowych.</w:t>
      </w:r>
    </w:p>
    <w:p w14:paraId="43B3E8C0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W związku z obecną sytuacją epidemiologiczną i nakazem ograniczania kontaktów i wizyt w szpitalach wydanymi przez GIS oraz Krajowego Konsultanta w dziedzinie Anestezjologii i Intensywnej Terapii uprzejmie prosimy o rezygnację z wymogu przeprowadzenia wizytacji, na rzecz uzgodnień dokonanych w procesie pytań i odpowiedzi.</w:t>
      </w:r>
    </w:p>
    <w:p w14:paraId="67F4D887" w14:textId="29E4A34E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 xml:space="preserve">Odpowiedź: </w:t>
      </w:r>
      <w:r w:rsidR="0046246B">
        <w:rPr>
          <w:rFonts w:cstheme="minorHAnsi"/>
        </w:rPr>
        <w:t>Zamawiający informuje, że posiada kolumnę p</w:t>
      </w:r>
      <w:r w:rsidR="00CD11EF" w:rsidRPr="00CD11EF">
        <w:rPr>
          <w:rFonts w:cstheme="minorHAnsi"/>
        </w:rPr>
        <w:t>roducent</w:t>
      </w:r>
      <w:r w:rsidR="0046246B">
        <w:rPr>
          <w:rFonts w:cstheme="minorHAnsi"/>
        </w:rPr>
        <w:t>a</w:t>
      </w:r>
      <w:r w:rsidR="00CD11EF" w:rsidRPr="00CD11EF">
        <w:rPr>
          <w:rFonts w:cstheme="minorHAnsi"/>
        </w:rPr>
        <w:t xml:space="preserve"> ZTM „TECH-MED.” Model ISA 9003 ANS</w:t>
      </w:r>
      <w:r w:rsidR="0046246B">
        <w:rPr>
          <w:rFonts w:cstheme="minorHAnsi"/>
        </w:rPr>
        <w:t xml:space="preserve"> ponadto Zamawiający posiada szyny instrumentalne MODUR typ MD-01.</w:t>
      </w:r>
      <w:bookmarkStart w:id="0" w:name="_GoBack"/>
      <w:bookmarkEnd w:id="0"/>
    </w:p>
    <w:p w14:paraId="032C3FF6" w14:textId="3356BE90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20 Czy Zamawiający dopuści ekran o wymaganej przekątnej 15 cali i wymaganej rozdzielczości 1024x768 pikseli, w formacie 4:3 (nie panoramicznym)? Stosowanie ekranu panoramicznego w kardiomonitorach powoduje wypłaszczenie kreślonych krzywych dynamicznych (ta sama liczba krzywych musi zmieścić się na ekranie o niższej wysokości) przez co krzywe dynamiczne są mniej czytelne.</w:t>
      </w:r>
    </w:p>
    <w:p w14:paraId="539E7BB6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eastAsia="Arial" w:cstheme="minorHAnsi"/>
        </w:rPr>
      </w:pPr>
      <w:r w:rsidRPr="00CD11EF">
        <w:rPr>
          <w:rFonts w:cstheme="minorHAnsi"/>
          <w:lang w:eastAsia="pl-PL"/>
        </w:rPr>
        <w:t xml:space="preserve">Odpowiedź: Zamawiający dopuszcza </w:t>
      </w:r>
    </w:p>
    <w:p w14:paraId="01FCC991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59CD7EFD" w14:textId="77777777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34 Prosimy o wyjaśnienie, czy moduł transportowy ma być wyposażony w funkcje podglądu trendów zapisanych w jego pamięci?</w:t>
      </w:r>
    </w:p>
    <w:p w14:paraId="3B8D9C69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eastAsia="Arial" w:cstheme="minorHAnsi"/>
        </w:rPr>
      </w:pPr>
      <w:r w:rsidRPr="00CD11EF">
        <w:rPr>
          <w:rFonts w:cstheme="minorHAnsi"/>
          <w:lang w:eastAsia="pl-PL"/>
        </w:rPr>
        <w:t>Odpowiedź: Zgodnie SIWZ</w:t>
      </w:r>
    </w:p>
    <w:p w14:paraId="42B63339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cstheme="minorHAnsi"/>
        </w:rPr>
      </w:pPr>
    </w:p>
    <w:p w14:paraId="62D7EBB2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1079EB47" w14:textId="77777777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41 Prosimy o wyjaśnienie, czy Zamawiający będzie wymagał nie możliwości rozbudowy, ale zaoferowania tej funkcjonalności, tj. aby oferowane kardiomonitory umożliwiały – bez konieczności podłączenia aparatu EKG – wykonanie pomiaru i opisowej analizy EKG spoczynkowego z 12-odprowadzeń? Taka funkcjonalność jest szczególnie istotna w sytuacji epidemiologicznej, ponieważ nie ma potrzeby przewożenia aparatu EKG od jednego pacjenta do drugiego, co wiąże się z ryzykiem przenoszenia zakażeń. W przypadku wprowadzenia takiego wymogu, prosimy również o wprowadzenie wymogu dostarczenia min. 1 zestawu przewodów EKG do diagnostycznego monitorowania 12-odprowadzeń EKG.</w:t>
      </w:r>
    </w:p>
    <w:p w14:paraId="3043AD94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cstheme="minorHAnsi"/>
          <w:lang w:eastAsia="pl-PL"/>
        </w:rPr>
      </w:pPr>
    </w:p>
    <w:p w14:paraId="2F66D5BE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eastAsia="Arial" w:cstheme="minorHAnsi"/>
        </w:rPr>
      </w:pPr>
      <w:r w:rsidRPr="00CD11EF">
        <w:rPr>
          <w:rFonts w:cstheme="minorHAnsi"/>
          <w:lang w:eastAsia="pl-PL"/>
        </w:rPr>
        <w:lastRenderedPageBreak/>
        <w:t>Odpowiedź: Zamawiający dopuszcza , nie wymaga</w:t>
      </w:r>
    </w:p>
    <w:p w14:paraId="17229EBC" w14:textId="77777777" w:rsidR="00FB109E" w:rsidRPr="00CD11EF" w:rsidRDefault="00FB109E" w:rsidP="00FB109E">
      <w:pPr>
        <w:tabs>
          <w:tab w:val="left" w:pos="3220"/>
        </w:tabs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ab/>
      </w:r>
    </w:p>
    <w:p w14:paraId="26305B6E" w14:textId="77777777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84 Prosimy o wyjaśnienie ilu sztuk modułów do pomiaru rzutu serca z wykorzystaniem cewnika Swan-Ganz’a Zamawiający wymaga? Zwracamy uwagę na fakt, że pomiar rzutu serca tą metodą jest stosowany niezwykle rzadko – ze względu na wysoki poziom inwazyjności pomiaru i wymóg dostarczenia modułu i akcesoriów do każdego monitora niepotrzebnie zwiększa wartość oferty.</w:t>
      </w:r>
    </w:p>
    <w:p w14:paraId="2830493A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eastAsia="Arial" w:cstheme="minorHAnsi"/>
        </w:rPr>
      </w:pPr>
      <w:r w:rsidRPr="00CD11EF">
        <w:rPr>
          <w:rFonts w:cstheme="minorHAnsi"/>
          <w:lang w:eastAsia="pl-PL"/>
        </w:rPr>
        <w:t>Odpowiedź: Zgodnie SIWZ</w:t>
      </w:r>
    </w:p>
    <w:p w14:paraId="5F760DBC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4EF9D311" w14:textId="77777777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85 Mając na uwadze fakt, że w obrębie oddziału intensywnej terapii ciągły pomiar rzutu serca jest wymogiem wyposażenia w ilości 1 na 4 stanowiska czy Zamawiający będzie wymagał dostarczenia 1 sztuki urządzenia do pomiaru rzutu serca metodą analizy krzywej ciśnienia tętniczego krwi kalibrowaną termodylucją przezpłucną i dopuści realizację tego pomiaru w formie modułu oferowanego systemu monitorowania, wymiennego pomiędzy wszystkimi stanowiskami – co jest znaczenie bardziej funkcjonalnym rozwiązaniem niż samodzielne urządzenie?</w:t>
      </w:r>
    </w:p>
    <w:p w14:paraId="612310FC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eastAsia="Arial" w:cstheme="minorHAnsi"/>
        </w:rPr>
      </w:pPr>
      <w:r w:rsidRPr="00CD11EF">
        <w:rPr>
          <w:rFonts w:cstheme="minorHAnsi"/>
          <w:lang w:eastAsia="pl-PL"/>
        </w:rPr>
        <w:t>Odpowiedź: Zamawiający dopuszcza , nie wymaga</w:t>
      </w:r>
    </w:p>
    <w:p w14:paraId="194F7D46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1985A539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br/>
        <w:t xml:space="preserve">Poz. 4.2 Centrala do kardiomonitorów modułowych – szt.1      </w:t>
      </w:r>
    </w:p>
    <w:p w14:paraId="3720376D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69FB2185" w14:textId="77777777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3 Czy Zamawiający wymaga, aby dostarczone ekrany były certyfikowanymi ekranami medycznymi? Tylko takie rozwiązanie pozwala na bezpieczny montaż ekranów centrali w obszarze Sali intensywnej terapii.</w:t>
      </w:r>
    </w:p>
    <w:p w14:paraId="6241CBBF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eastAsia="Arial" w:cstheme="minorHAnsi"/>
        </w:rPr>
      </w:pPr>
      <w:r w:rsidRPr="00CD11EF">
        <w:rPr>
          <w:rFonts w:cstheme="minorHAnsi"/>
          <w:lang w:eastAsia="pl-PL"/>
        </w:rPr>
        <w:t>Odpowiedź: Zamawiający dopuszcza , nie wymaga</w:t>
      </w:r>
    </w:p>
    <w:p w14:paraId="113255D3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531347A8" w14:textId="77777777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 20 Mając na uwadze fakt, że Zamawiający wymaga jedynie możliwości rozbudowy taką funkcjonalność, uprzejmie prosimy o poprawienie omyłki pisarskiej i usunięcie zapisu: „W ofercie ujęte licencje zapewniające jednoczesny podgląd na 6 stanowiskach komputerowych.”</w:t>
      </w:r>
    </w:p>
    <w:p w14:paraId="25B0E73A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eastAsia="Arial" w:cstheme="minorHAnsi"/>
        </w:rPr>
      </w:pPr>
      <w:r w:rsidRPr="00CD11EF">
        <w:rPr>
          <w:rFonts w:cstheme="minorHAnsi"/>
          <w:lang w:eastAsia="pl-PL"/>
        </w:rPr>
        <w:t>Odpowiedź: Zgodnie SIWZ</w:t>
      </w:r>
    </w:p>
    <w:p w14:paraId="0EA364D4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2D5FDACE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 xml:space="preserve">Poz. 4.1  Kardiomonitor modułowy – 6 szt. / </w:t>
      </w:r>
    </w:p>
    <w:p w14:paraId="5159D6BE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 xml:space="preserve">4.2 Stanowisko centralnego monitorowania pacjentów dla OIT / </w:t>
      </w:r>
    </w:p>
    <w:p w14:paraId="7E9022EB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GWARANCJA I SERWIS</w:t>
      </w:r>
    </w:p>
    <w:p w14:paraId="7A9880C9" w14:textId="77777777" w:rsidR="00FB109E" w:rsidRPr="00CD11EF" w:rsidRDefault="00FB109E" w:rsidP="00CD11E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Pkt. 2Czy Zamawiający uznaje za reakcję serwisową zdalną diagnostykę/naprawę wykonaną za pomocą połączenia serwisanta z urządzeniem za pośrednictwem sieci komputerowej lub poprzez rozmowę telefoniczną?</w:t>
      </w:r>
    </w:p>
    <w:p w14:paraId="4791A31E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 xml:space="preserve">Odpowiedź: TAK zamawiający dopuszcza takie rozwiązanie. </w:t>
      </w:r>
    </w:p>
    <w:p w14:paraId="392B98BB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588F07D0" w14:textId="77777777" w:rsidR="00FB109E" w:rsidRPr="00CD11EF" w:rsidRDefault="00FB109E" w:rsidP="00CD1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Pkt. 2 Czy w przypadku braku możliwości lub zgody na wykorzystanie zdalnej diagnostyki Zamawiający dopuści czas reakcji serwisu 48h godzin w dni robocze, a w dni ustawowo wolne od pracy 72 h?</w:t>
      </w:r>
    </w:p>
    <w:p w14:paraId="022B9427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 xml:space="preserve">Odpowiedź: Wymagania siwz pozostają bez zmian. </w:t>
      </w:r>
    </w:p>
    <w:p w14:paraId="5CDF4A9F" w14:textId="77777777" w:rsidR="00FB109E" w:rsidRPr="00CD11EF" w:rsidRDefault="00FB109E" w:rsidP="00FB109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D3EA747" w14:textId="77777777" w:rsidR="00FB109E" w:rsidRPr="00CD11EF" w:rsidRDefault="00FB109E" w:rsidP="00CD1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Pkt. 2 i 3 Praktyka rynkowa dowodzi, że czasami dla wykonania naprawy konieczny jest import części zamiennych spoza UE i dokonania ich odprawy celnej, co zazwyczaj wydłuża czas importu od 2 do 4 dni roboczych. Przy założeniu, że wykonanie diagnostyki nastąpi w ciągu 1 dnia roboczego w takich przypadkach niemożliwe jest ukończenie naprawy w czasie 3 dni roboczych. W związku z powyższym czy Zamawiający dopuści czas naprawy do 4 dni roboczych w przypadku konieczności sprowadzenia części zamiennych spoza Polski i 7 dni roboczych w przypadku konieczności sprowadzenia części zamiennych spoza UE?</w:t>
      </w:r>
    </w:p>
    <w:p w14:paraId="67A446C0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 xml:space="preserve">Odpowiedź: Wymagania siwz pozostają bez zmian. </w:t>
      </w:r>
    </w:p>
    <w:p w14:paraId="243B2C9D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</w:p>
    <w:p w14:paraId="0D2B35FD" w14:textId="77777777" w:rsidR="00FB109E" w:rsidRPr="00CD11EF" w:rsidRDefault="00FB109E" w:rsidP="00FB109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DC2F22B" w14:textId="77777777" w:rsidR="00FB109E" w:rsidRPr="00CD11EF" w:rsidRDefault="00FB109E" w:rsidP="00CD1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Pkt. 9 Czy Zamawiający dopuści dostarczenie instrukcję obsługi w wersji elektronicznej ?</w:t>
      </w:r>
    </w:p>
    <w:p w14:paraId="4AD12B7F" w14:textId="66AAF3E6" w:rsidR="00FB109E" w:rsidRPr="00CD11EF" w:rsidRDefault="00CD11EF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>Odpowiedź:  Z</w:t>
      </w:r>
      <w:r w:rsidR="00FB109E" w:rsidRPr="00CD11EF">
        <w:rPr>
          <w:rFonts w:cstheme="minorHAnsi"/>
          <w:lang w:eastAsia="pl-PL"/>
        </w:rPr>
        <w:t>amawiający</w:t>
      </w:r>
      <w:r w:rsidRPr="00CD11EF">
        <w:rPr>
          <w:rFonts w:cstheme="minorHAnsi"/>
          <w:lang w:eastAsia="pl-PL"/>
        </w:rPr>
        <w:t xml:space="preserve"> nie </w:t>
      </w:r>
      <w:r w:rsidR="00FB109E" w:rsidRPr="00CD11EF">
        <w:rPr>
          <w:rFonts w:cstheme="minorHAnsi"/>
          <w:lang w:eastAsia="pl-PL"/>
        </w:rPr>
        <w:t xml:space="preserve"> dopuszcza. </w:t>
      </w:r>
    </w:p>
    <w:p w14:paraId="54AD1F8C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Poz. 4.3  Respirator stacjonarny – 1 szt.</w:t>
      </w:r>
    </w:p>
    <w:p w14:paraId="10A025B7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GWARANCJA I SERWIS</w:t>
      </w:r>
    </w:p>
    <w:p w14:paraId="6AD38783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5002A8F8" w14:textId="45100B4B" w:rsidR="00FB109E" w:rsidRPr="0046246B" w:rsidRDefault="00FB109E" w:rsidP="004624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46246B">
        <w:rPr>
          <w:rFonts w:cstheme="minorHAnsi"/>
        </w:rPr>
        <w:t>Pkt. 2Czy Zamawiający uznaje za reakcję serwisową zdalną diagnostykę/naprawę wykonaną za pomocą połączenia serwisanta z urządzeniem za pośrednictwem sieci komputerowej lub poprzez rozmowę telefoniczną?</w:t>
      </w:r>
    </w:p>
    <w:p w14:paraId="11192004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 xml:space="preserve">Odpowiedź: TAK zamawiający dopuszcza takie rozwiązanie. </w:t>
      </w:r>
    </w:p>
    <w:p w14:paraId="0BEDFED7" w14:textId="77777777" w:rsidR="00FB109E" w:rsidRPr="00CD11EF" w:rsidRDefault="00FB109E" w:rsidP="00FB109E">
      <w:pPr>
        <w:pStyle w:val="Akapitzlist"/>
        <w:spacing w:line="240" w:lineRule="auto"/>
        <w:ind w:left="760"/>
        <w:jc w:val="both"/>
        <w:rPr>
          <w:rFonts w:cstheme="minorHAnsi"/>
        </w:rPr>
      </w:pPr>
    </w:p>
    <w:p w14:paraId="44563939" w14:textId="77777777" w:rsidR="00FB109E" w:rsidRPr="00CD11EF" w:rsidRDefault="00FB109E" w:rsidP="00FB109E">
      <w:pPr>
        <w:spacing w:line="240" w:lineRule="auto"/>
        <w:jc w:val="both"/>
        <w:rPr>
          <w:rFonts w:cstheme="minorHAnsi"/>
        </w:rPr>
      </w:pPr>
    </w:p>
    <w:p w14:paraId="3ADE259C" w14:textId="77777777" w:rsidR="00FB109E" w:rsidRPr="00CD11EF" w:rsidRDefault="00FB109E" w:rsidP="00462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Pkt. 2 Czy w przypadku braku możliwości lub zgody na wykorzystanie zdalnej diagnostyki Zamawiający dopuści czas reakcji serwisu 48h godzin w dni robocze, a w dni ustawowo wolne od pracy 72 h?</w:t>
      </w:r>
    </w:p>
    <w:p w14:paraId="7755ACB5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 xml:space="preserve">Odpowiedź: Wymagania siwz pozostają bez zmian. </w:t>
      </w:r>
    </w:p>
    <w:p w14:paraId="2CCF9032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</w:p>
    <w:p w14:paraId="31DB8C22" w14:textId="77777777" w:rsidR="00FB109E" w:rsidRPr="00CD11EF" w:rsidRDefault="00FB109E" w:rsidP="00FB109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E9BB025" w14:textId="77777777" w:rsidR="00FB109E" w:rsidRPr="00CD11EF" w:rsidRDefault="00FB109E" w:rsidP="00462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Pkt. 2 i 3 Praktyka rynkowa dowodzi, że czasami dla wykonania naprawy konieczny jest import części zamiennych spoza UE i dokonania ich odprawy celnej, co zazwyczaj wydłuża czas importu od 2 do 4 dni roboczych. Przy założeniu, że wykonanie diagnostyki nastąpi w ciągu 1 dnia roboczego w takich przypadkach niemożliwe jest ukończenie naprawy w czasie 3 dni roboczych. W związku z powyższym czy Zamawiający dopuści czas naprawy do 4 dni roboczych w przypadku konieczności sprowadzenia części zamiennych spoza Polski i 7 dni roboczych w przypadku konieczności sprowadzenia części zamiennych spoza UE?</w:t>
      </w:r>
    </w:p>
    <w:p w14:paraId="45C15355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 xml:space="preserve">Odpowiedź: Wymagania siwz pozostają bez zmian. </w:t>
      </w:r>
    </w:p>
    <w:p w14:paraId="24A6C031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</w:p>
    <w:p w14:paraId="2C27E940" w14:textId="77777777" w:rsidR="00FB109E" w:rsidRPr="00CD11EF" w:rsidRDefault="00FB109E" w:rsidP="00FB109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22C00BD" w14:textId="77777777" w:rsidR="00FB109E" w:rsidRPr="00CD11EF" w:rsidRDefault="00FB109E" w:rsidP="004624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D11EF">
        <w:rPr>
          <w:rFonts w:cstheme="minorHAnsi"/>
        </w:rPr>
        <w:t>Pkt. 9 Czy Zamawiający dopuści dostarczenie instrukcję obsługi w wersji elektronicznej ?</w:t>
      </w:r>
    </w:p>
    <w:p w14:paraId="3D2506E3" w14:textId="29E57950" w:rsidR="00FB109E" w:rsidRPr="00CD11EF" w:rsidRDefault="00CD11EF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  <w:r w:rsidRPr="00CD11EF">
        <w:rPr>
          <w:rFonts w:cstheme="minorHAnsi"/>
          <w:lang w:eastAsia="pl-PL"/>
        </w:rPr>
        <w:t>Odpowiedź: Z</w:t>
      </w:r>
      <w:r w:rsidR="00FB109E" w:rsidRPr="00CD11EF">
        <w:rPr>
          <w:rFonts w:cstheme="minorHAnsi"/>
          <w:lang w:eastAsia="pl-PL"/>
        </w:rPr>
        <w:t>amawiający</w:t>
      </w:r>
      <w:r w:rsidRPr="00CD11EF">
        <w:rPr>
          <w:rFonts w:cstheme="minorHAnsi"/>
          <w:lang w:eastAsia="pl-PL"/>
        </w:rPr>
        <w:t xml:space="preserve"> nie</w:t>
      </w:r>
      <w:r w:rsidR="00FB109E" w:rsidRPr="00CD11EF">
        <w:rPr>
          <w:rFonts w:cstheme="minorHAnsi"/>
          <w:lang w:eastAsia="pl-PL"/>
        </w:rPr>
        <w:t xml:space="preserve"> dopuszcza. </w:t>
      </w:r>
    </w:p>
    <w:p w14:paraId="5085FD18" w14:textId="77777777" w:rsidR="00FB109E" w:rsidRPr="00CD11EF" w:rsidRDefault="00FB109E" w:rsidP="00FB109E">
      <w:pPr>
        <w:pStyle w:val="Akapitzlist"/>
        <w:autoSpaceDE w:val="0"/>
        <w:autoSpaceDN w:val="0"/>
        <w:adjustRightInd w:val="0"/>
        <w:spacing w:line="240" w:lineRule="auto"/>
        <w:ind w:left="760"/>
        <w:jc w:val="both"/>
        <w:rPr>
          <w:rFonts w:cstheme="minorHAnsi"/>
        </w:rPr>
      </w:pPr>
    </w:p>
    <w:p w14:paraId="1A8E8FEC" w14:textId="081CF38F" w:rsidR="00CA6182" w:rsidRPr="0046246B" w:rsidRDefault="00CA6182" w:rsidP="0046246B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lang w:eastAsia="pl-PL"/>
        </w:rPr>
      </w:pPr>
      <w:r w:rsidRPr="0046246B">
        <w:rPr>
          <w:rFonts w:eastAsia="Times New Roman" w:cstheme="minorHAnsi"/>
          <w:lang w:eastAsia="pl-PL"/>
        </w:rPr>
        <w:t xml:space="preserve">  dot. Pakiet 4 część 4.8</w:t>
      </w:r>
    </w:p>
    <w:p w14:paraId="6A34087B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 xml:space="preserve">Czy w myśl dobrze pojętego interesu szpitala oraz w celu zwiększenia ilości pomiotów mogących złożyć ofertę w postępowaniu przetargowym, zwracamy się z prośbą do Zamawiającego o wyłączenie z pakietu 4 części 4.8 Aparat USG z funkcją Doppler – szt.1. Umożliwienie złożenia oferty na poszczególne części spowoduje złożenie oferty przez większą liczbę wykonawców. </w:t>
      </w:r>
    </w:p>
    <w:p w14:paraId="693635EA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Zamawiający wymaga, żeby wykonawca posiadał autoryzację na sprzedaż oraz zapewniał autoryzowany serwis- za względu na fakt, że zdecydowana większość firm specjalizuje się w sprzedaży konkretnych urządzeń i nie posiada w swojej ofercie całej gamy urządzeń, może spowodować to, że żaden wykonawca nie będzie mógł złożyć oferty na wszystkie urządzenia a pakiecie 4, a co za tym idzie, Zamawiający może stracić środki pozyskane z programu współfinansowanego przez Unię Europejską.</w:t>
      </w:r>
    </w:p>
    <w:p w14:paraId="5FBF4D0A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cstheme="minorHAnsi"/>
        </w:rPr>
        <w:t>Odpowiedź: Zamawiający nie dokonuje zmiany w zakresie pakietowania</w:t>
      </w:r>
    </w:p>
    <w:p w14:paraId="48FB5C36" w14:textId="60BCDAF4" w:rsidR="00CA6182" w:rsidRPr="00CD11EF" w:rsidRDefault="0046246B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18.</w:t>
      </w:r>
      <w:r w:rsidR="00CA6182" w:rsidRPr="00CD11EF">
        <w:rPr>
          <w:rFonts w:eastAsia="Times New Roman" w:cstheme="minorHAnsi"/>
          <w:lang w:eastAsia="pl-PL"/>
        </w:rPr>
        <w:t xml:space="preserve">  dot Pakiet 4 część 4.8 punkt 54</w:t>
      </w:r>
    </w:p>
    <w:p w14:paraId="6E0D6CD0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 xml:space="preserve">Zwracamy się z prośbą do Zamawiającego o zmianę w/w punktu na: </w:t>
      </w:r>
    </w:p>
    <w:p w14:paraId="141468AB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Czas reakcji na zgłoszenie awarii – maksymalny czas podjęcie działań zmierzających do usunięcia  awarii do 48 godz. ( w dni robocze), czas usunięcia zgłoszonych usterek i wykonania napraw max. 5 dni roboczych, czas wykonania napraw, w przypadku konieczności importu części zamiennych lub podzespołów max. 10 dni roboczych. Wykonawca dostarczy na własny koszt aparat zastępczy o podobnych parametrach.</w:t>
      </w:r>
    </w:p>
    <w:p w14:paraId="6E001A65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 xml:space="preserve">Odpowiedź: Postanowienia siwz pozostają bez zmian, Zamawiający wyjaśnia że posługuje się pojęciem „dni robocze” </w:t>
      </w:r>
    </w:p>
    <w:p w14:paraId="03A4C3A4" w14:textId="0D2ECD9D" w:rsidR="00CA6182" w:rsidRPr="0046246B" w:rsidRDefault="00CA6182" w:rsidP="0046246B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46246B">
        <w:rPr>
          <w:rFonts w:eastAsia="Times New Roman" w:cstheme="minorHAnsi"/>
          <w:lang w:eastAsia="pl-PL"/>
        </w:rPr>
        <w:t xml:space="preserve"> dot. Pakiet 4 część 4.8 GWARANCJA i SERWIS punkt 2</w:t>
      </w:r>
    </w:p>
    <w:p w14:paraId="62F20F4B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Zwracamy się z prośbą o zmianę w/w punktu na:</w:t>
      </w:r>
    </w:p>
    <w:p w14:paraId="7B418A3B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Czas reakcji na zgłoszenie usterki  48 godzin w dni robocze rozumiane jako dni od pn.-pt.  z wyłączeniem dni ustawowo wolnych od pracy. Czas reakcji w dni ustawowo wolne od pracy – 72 godziny.</w:t>
      </w:r>
    </w:p>
    <w:p w14:paraId="1C60FF68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 xml:space="preserve">Odpowiedź: Postanowienia siwz pozostają bez zmian, Zamawiający wyjaśnia że posługuje się pojęciem „dni robocze” </w:t>
      </w:r>
    </w:p>
    <w:p w14:paraId="503309EE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</w:p>
    <w:p w14:paraId="5110BE6F" w14:textId="19899CA3" w:rsidR="00CA6182" w:rsidRPr="0046246B" w:rsidRDefault="00CA6182" w:rsidP="0046246B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46246B">
        <w:rPr>
          <w:rFonts w:eastAsia="Times New Roman" w:cstheme="minorHAnsi"/>
          <w:lang w:eastAsia="pl-PL"/>
        </w:rPr>
        <w:t xml:space="preserve"> dot. Pakiet 4 część 4.8 GWARANCJA i SERWIS punkt 3</w:t>
      </w:r>
    </w:p>
    <w:p w14:paraId="0A669366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Zwracamy się z prośbą o zmianę w/w punktu na:</w:t>
      </w:r>
    </w:p>
    <w:p w14:paraId="1C317930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Czas skutecznej naprawy bez użycia części zamiennych licząc od momentu zgłoszenia awarii – max 3 dni robocze rozumiane jako dni od pn.-pt. z wyłączeniem dni ustawowo wolnych od pracy.</w:t>
      </w:r>
    </w:p>
    <w:p w14:paraId="3102E4B4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 xml:space="preserve">Odpowiedź: Postanowienia siwz pozostają bez zmian. </w:t>
      </w:r>
    </w:p>
    <w:p w14:paraId="570CA50E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</w:p>
    <w:p w14:paraId="1B24F7DC" w14:textId="02EC9DB3" w:rsidR="00CA6182" w:rsidRPr="0046246B" w:rsidRDefault="00CA6182" w:rsidP="0046246B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46246B">
        <w:rPr>
          <w:rFonts w:eastAsia="Times New Roman" w:cstheme="minorHAnsi"/>
          <w:lang w:eastAsia="pl-PL"/>
        </w:rPr>
        <w:t xml:space="preserve"> dot. Pakiet 4 część 4.8 GWARANCJA i SERWIS punkt 4</w:t>
      </w:r>
    </w:p>
    <w:p w14:paraId="74456A5E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Zwracamy się z prośbą o zmianę w/w punktu na:</w:t>
      </w:r>
    </w:p>
    <w:p w14:paraId="260E81E0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>Czas skutecznej naprawy z użyciem  części zamiennych licząc od momentu zgłoszenia awarii – max 10 dni roboczych  rozumiane jako dni od pn.-pt. z wyłączeniem dni ustawowo wolnych od pracy.</w:t>
      </w:r>
    </w:p>
    <w:p w14:paraId="15992D3E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  <w:r w:rsidRPr="00CD11EF">
        <w:rPr>
          <w:rFonts w:eastAsia="Times New Roman" w:cstheme="minorHAnsi"/>
          <w:lang w:eastAsia="pl-PL"/>
        </w:rPr>
        <w:t xml:space="preserve">Odpowiedź: Postanowienia siwz pozostają bez zmian, Zamawiający wyjaśnia że posługuje się pojęciem „dni robocze” </w:t>
      </w:r>
    </w:p>
    <w:p w14:paraId="30696636" w14:textId="77777777" w:rsidR="00CA6182" w:rsidRPr="00CD11EF" w:rsidRDefault="00CA6182" w:rsidP="00CA6182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</w:p>
    <w:p w14:paraId="5682F26B" w14:textId="2D856B2C" w:rsidR="00CA6182" w:rsidRPr="0046246B" w:rsidRDefault="00CA6182" w:rsidP="004624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46246B">
        <w:rPr>
          <w:rFonts w:cstheme="minorHAnsi"/>
        </w:rPr>
        <w:t xml:space="preserve"> Czy Zamawiający zgodzi się wydzielić poz. 4.1 Kardiomonitor modułowy- szt.6, poz. 4.2 Centrala do kardiomonitorów modułowych – szt.1 oraz poz. 4.3 Respirator stacjonarny – szt.1.do osobnego pakietu?</w:t>
      </w:r>
    </w:p>
    <w:p w14:paraId="789AD3AD" w14:textId="77777777" w:rsidR="00CA6182" w:rsidRPr="00CD11EF" w:rsidRDefault="00CA6182" w:rsidP="00CA618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D11EF">
        <w:rPr>
          <w:rFonts w:cstheme="minorHAnsi"/>
        </w:rPr>
        <w:t xml:space="preserve">Odpowiedź: NIE postanowienia siwz pozostają bez zmian. </w:t>
      </w:r>
    </w:p>
    <w:p w14:paraId="66B787C2" w14:textId="77777777" w:rsidR="00CA6182" w:rsidRPr="00CD11EF" w:rsidRDefault="00CA6182" w:rsidP="00CA6182">
      <w:pPr>
        <w:spacing w:line="240" w:lineRule="auto"/>
        <w:rPr>
          <w:rFonts w:cstheme="minorHAnsi"/>
        </w:rPr>
      </w:pPr>
      <w:r w:rsidRPr="00CD11EF">
        <w:rPr>
          <w:rFonts w:cstheme="minorHAnsi"/>
        </w:rPr>
        <w:t xml:space="preserve">Poz. 4.1  Kardiomonitor modułowy – 6 szt. / </w:t>
      </w:r>
    </w:p>
    <w:p w14:paraId="29E01DAE" w14:textId="346B767E" w:rsidR="00CA6182" w:rsidRPr="0046246B" w:rsidRDefault="00CA6182" w:rsidP="0046246B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46246B">
        <w:rPr>
          <w:rFonts w:cstheme="minorHAnsi"/>
        </w:rPr>
        <w:t xml:space="preserve"> Pkt 1 Czy Zamawiający wymaga, aby producent oferowanych kardiomonitorów miał w protfolio własny kliniczny system informatyczny (CIS)? Jedynie takie rozwiązanie daje Zamawiającemu pewność pełnej kompatybilności obu systemów i gwarantuje zakup systemu monitorowania pacjenta najwyższej klasy.</w:t>
      </w:r>
    </w:p>
    <w:p w14:paraId="15DF6DE3" w14:textId="77777777" w:rsidR="00CA6182" w:rsidRPr="00CD11EF" w:rsidRDefault="00CA6182" w:rsidP="00CA6182">
      <w:pPr>
        <w:spacing w:line="240" w:lineRule="auto"/>
        <w:rPr>
          <w:rFonts w:cstheme="minorHAnsi"/>
        </w:rPr>
      </w:pPr>
      <w:r w:rsidRPr="00CD11EF">
        <w:rPr>
          <w:rFonts w:cstheme="minorHAnsi"/>
        </w:rPr>
        <w:t xml:space="preserve">Odpowiedź: Nie, zamawiający nie stawia takiego wymogu. </w:t>
      </w:r>
    </w:p>
    <w:p w14:paraId="6A2181A0" w14:textId="77777777" w:rsidR="00FB109E" w:rsidRPr="00CD11EF" w:rsidRDefault="00FB109E" w:rsidP="00C96FFC">
      <w:pPr>
        <w:autoSpaceDE w:val="0"/>
        <w:autoSpaceDN w:val="0"/>
        <w:spacing w:line="240" w:lineRule="auto"/>
        <w:jc w:val="both"/>
        <w:rPr>
          <w:rFonts w:eastAsia="Times New Roman" w:cstheme="minorHAnsi"/>
          <w:lang w:eastAsia="pl-PL"/>
        </w:rPr>
      </w:pPr>
    </w:p>
    <w:p w14:paraId="29F5926B" w14:textId="77777777" w:rsidR="0065104B" w:rsidRDefault="0065104B"/>
    <w:sectPr w:rsidR="00651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B8C2" w14:textId="77777777" w:rsidR="00CD11EF" w:rsidRDefault="00CD11EF" w:rsidP="00CD11EF">
      <w:pPr>
        <w:spacing w:after="0" w:line="240" w:lineRule="auto"/>
      </w:pPr>
      <w:r>
        <w:separator/>
      </w:r>
    </w:p>
  </w:endnote>
  <w:endnote w:type="continuationSeparator" w:id="0">
    <w:p w14:paraId="1FA8255A" w14:textId="77777777" w:rsidR="00CD11EF" w:rsidRDefault="00CD11EF" w:rsidP="00C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2B8E5" w14:textId="77777777" w:rsidR="00CD11EF" w:rsidRDefault="00CD11EF" w:rsidP="00CD11EF">
      <w:pPr>
        <w:spacing w:after="0" w:line="240" w:lineRule="auto"/>
      </w:pPr>
      <w:r>
        <w:separator/>
      </w:r>
    </w:p>
  </w:footnote>
  <w:footnote w:type="continuationSeparator" w:id="0">
    <w:p w14:paraId="3371161D" w14:textId="77777777" w:rsidR="00CD11EF" w:rsidRDefault="00CD11EF" w:rsidP="00CD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3241" w14:textId="4CC36334" w:rsidR="00CD11EF" w:rsidRDefault="00CD11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1AEFC" wp14:editId="4C65C991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5763260" cy="63119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62FAC" w14:textId="77777777" w:rsidR="00CD11EF" w:rsidRDefault="00CD11EF">
    <w:pPr>
      <w:pStyle w:val="Nagwek"/>
    </w:pPr>
  </w:p>
  <w:p w14:paraId="5DDFFAF5" w14:textId="77777777" w:rsidR="00CD11EF" w:rsidRDefault="00CD11EF">
    <w:pPr>
      <w:pStyle w:val="Nagwek"/>
    </w:pPr>
  </w:p>
  <w:p w14:paraId="74AB6C22" w14:textId="77777777" w:rsidR="00CD11EF" w:rsidRDefault="00CD11EF">
    <w:pPr>
      <w:pStyle w:val="Nagwek"/>
    </w:pPr>
  </w:p>
  <w:p w14:paraId="6F603A1A" w14:textId="77777777" w:rsidR="00CD11EF" w:rsidRDefault="00CD1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E68"/>
    <w:multiLevelType w:val="hybridMultilevel"/>
    <w:tmpl w:val="817295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67C"/>
    <w:multiLevelType w:val="hybridMultilevel"/>
    <w:tmpl w:val="817295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BA4"/>
    <w:multiLevelType w:val="hybridMultilevel"/>
    <w:tmpl w:val="61D0E6FC"/>
    <w:lvl w:ilvl="0" w:tplc="6714FF06">
      <w:start w:val="137"/>
      <w:numFmt w:val="decimal"/>
      <w:lvlText w:val="%1."/>
      <w:lvlJc w:val="left"/>
      <w:pPr>
        <w:ind w:left="760" w:hanging="4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78E2"/>
    <w:multiLevelType w:val="hybridMultilevel"/>
    <w:tmpl w:val="817295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512E"/>
    <w:multiLevelType w:val="hybridMultilevel"/>
    <w:tmpl w:val="61D0E6FC"/>
    <w:lvl w:ilvl="0" w:tplc="6714FF06">
      <w:start w:val="137"/>
      <w:numFmt w:val="decimal"/>
      <w:lvlText w:val="%1."/>
      <w:lvlJc w:val="left"/>
      <w:pPr>
        <w:ind w:left="760" w:hanging="4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0AFA"/>
    <w:multiLevelType w:val="multilevel"/>
    <w:tmpl w:val="6B4A8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5792318A"/>
    <w:multiLevelType w:val="hybridMultilevel"/>
    <w:tmpl w:val="2C20441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1FA3"/>
    <w:multiLevelType w:val="hybridMultilevel"/>
    <w:tmpl w:val="61D0E6FC"/>
    <w:lvl w:ilvl="0" w:tplc="6714FF06">
      <w:start w:val="137"/>
      <w:numFmt w:val="decimal"/>
      <w:lvlText w:val="%1."/>
      <w:lvlJc w:val="left"/>
      <w:pPr>
        <w:ind w:left="760" w:hanging="4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D1"/>
    <w:rsid w:val="0025470B"/>
    <w:rsid w:val="003E15A6"/>
    <w:rsid w:val="0046246B"/>
    <w:rsid w:val="0065104B"/>
    <w:rsid w:val="00C96FFC"/>
    <w:rsid w:val="00CA6182"/>
    <w:rsid w:val="00CD11EF"/>
    <w:rsid w:val="00F03ED1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0143"/>
  <w15:chartTrackingRefBased/>
  <w15:docId w15:val="{44768D4D-AEE4-48F5-8D27-1AC7C677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E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CW_Lista Znak"/>
    <w:basedOn w:val="Domylnaczcionkaakapitu"/>
    <w:link w:val="Akapitzlist"/>
    <w:uiPriority w:val="99"/>
    <w:locked/>
    <w:rsid w:val="00F03ED1"/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F03ED1"/>
    <w:pPr>
      <w:ind w:left="720"/>
      <w:contextualSpacing/>
    </w:p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semiHidden/>
    <w:locked/>
    <w:rsid w:val="00C96FFC"/>
    <w:rPr>
      <w:sz w:val="20"/>
      <w:szCs w:val="20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semiHidden/>
    <w:unhideWhenUsed/>
    <w:rsid w:val="00C96FF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96FFC"/>
    <w:rPr>
      <w:sz w:val="20"/>
      <w:szCs w:val="20"/>
    </w:rPr>
  </w:style>
  <w:style w:type="paragraph" w:customStyle="1" w:styleId="Default">
    <w:name w:val="Default"/>
    <w:uiPriority w:val="99"/>
    <w:rsid w:val="00C9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F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EF"/>
  </w:style>
  <w:style w:type="paragraph" w:styleId="Stopka">
    <w:name w:val="footer"/>
    <w:basedOn w:val="Normalny"/>
    <w:link w:val="StopkaZnak"/>
    <w:uiPriority w:val="99"/>
    <w:unhideWhenUsed/>
    <w:rsid w:val="00CD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5</cp:revision>
  <dcterms:created xsi:type="dcterms:W3CDTF">2020-05-12T16:19:00Z</dcterms:created>
  <dcterms:modified xsi:type="dcterms:W3CDTF">2020-05-15T12:32:00Z</dcterms:modified>
</cp:coreProperties>
</file>