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3A" w:rsidRPr="00185595" w:rsidRDefault="00185595" w:rsidP="001855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Arial"/>
          <w:b/>
          <w:color w:val="000000"/>
          <w:sz w:val="22"/>
          <w:szCs w:val="22"/>
        </w:rPr>
      </w:pPr>
      <w:r w:rsidRPr="00185595">
        <w:rPr>
          <w:rFonts w:eastAsia="Arial"/>
          <w:b/>
          <w:color w:val="000000"/>
          <w:sz w:val="22"/>
          <w:szCs w:val="22"/>
        </w:rPr>
        <w:t>Pakiet nr 7 do Załącznika nr 2</w:t>
      </w:r>
    </w:p>
    <w:tbl>
      <w:tblPr>
        <w:tblW w:w="14884" w:type="dxa"/>
        <w:tblLayout w:type="fixed"/>
        <w:tblLook w:val="0400" w:firstRow="0" w:lastRow="0" w:firstColumn="0" w:lastColumn="0" w:noHBand="0" w:noVBand="1"/>
      </w:tblPr>
      <w:tblGrid>
        <w:gridCol w:w="14884"/>
      </w:tblGrid>
      <w:tr w:rsidR="0002153A" w:rsidRPr="00402185" w:rsidTr="00C3565B">
        <w:trPr>
          <w:trHeight w:val="56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53A" w:rsidRPr="00402185" w:rsidRDefault="0002153A" w:rsidP="00C3565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18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18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2153A" w:rsidRPr="00402185" w:rsidTr="00C3565B">
        <w:trPr>
          <w:trHeight w:val="18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53A" w:rsidRPr="00402185" w:rsidRDefault="0002153A" w:rsidP="00C3565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18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53A" w:rsidRPr="00402185" w:rsidRDefault="0002153A" w:rsidP="00C3565B">
            <w:pPr>
              <w:rPr>
                <w:b/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System fluororescencyjnego znakowania węzłów chłonnych– szt.1.</w:t>
            </w:r>
          </w:p>
          <w:p w:rsidR="0002153A" w:rsidRPr="00402185" w:rsidRDefault="0002153A" w:rsidP="00C3565B">
            <w:pPr>
              <w:rPr>
                <w:b/>
                <w:sz w:val="22"/>
                <w:szCs w:val="22"/>
              </w:rPr>
            </w:pPr>
          </w:p>
          <w:p w:rsidR="0002153A" w:rsidRPr="00402185" w:rsidRDefault="0002153A" w:rsidP="0002153A">
            <w:pPr>
              <w:numPr>
                <w:ilvl w:val="0"/>
                <w:numId w:val="7"/>
              </w:numPr>
              <w:spacing w:line="276" w:lineRule="auto"/>
              <w:ind w:left="1701" w:hanging="567"/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Nazwa sprzętu:</w:t>
            </w:r>
          </w:p>
          <w:p w:rsidR="0002153A" w:rsidRPr="00402185" w:rsidRDefault="0002153A" w:rsidP="0002153A">
            <w:pPr>
              <w:numPr>
                <w:ilvl w:val="0"/>
                <w:numId w:val="7"/>
              </w:numPr>
              <w:spacing w:line="276" w:lineRule="auto"/>
              <w:ind w:left="1701" w:hanging="567"/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Model:</w:t>
            </w:r>
          </w:p>
          <w:p w:rsidR="0002153A" w:rsidRPr="00402185" w:rsidRDefault="0002153A" w:rsidP="0002153A">
            <w:pPr>
              <w:numPr>
                <w:ilvl w:val="0"/>
                <w:numId w:val="7"/>
              </w:numPr>
              <w:spacing w:line="276" w:lineRule="auto"/>
              <w:ind w:left="1701" w:hanging="567"/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Typ:</w:t>
            </w:r>
          </w:p>
          <w:p w:rsidR="0002153A" w:rsidRPr="00402185" w:rsidRDefault="0002153A" w:rsidP="0002153A">
            <w:pPr>
              <w:numPr>
                <w:ilvl w:val="0"/>
                <w:numId w:val="7"/>
              </w:numPr>
              <w:spacing w:line="276" w:lineRule="auto"/>
              <w:ind w:left="1701" w:hanging="567"/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Rok prod.: nie starszy niż 2019 (sprzęt fabrycznie nowy, nieużywany, nierekondycjonowany</w:t>
            </w:r>
            <w:r w:rsidR="00C3565B" w:rsidRPr="00402185">
              <w:rPr>
                <w:sz w:val="22"/>
                <w:szCs w:val="22"/>
              </w:rPr>
              <w:t>)</w:t>
            </w:r>
          </w:p>
          <w:p w:rsidR="0002153A" w:rsidRPr="00402185" w:rsidRDefault="0002153A" w:rsidP="0002153A">
            <w:pPr>
              <w:numPr>
                <w:ilvl w:val="0"/>
                <w:numId w:val="7"/>
              </w:numPr>
              <w:spacing w:after="200" w:line="276" w:lineRule="auto"/>
              <w:ind w:left="1701" w:hanging="567"/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Producent:</w:t>
            </w:r>
          </w:p>
        </w:tc>
      </w:tr>
      <w:tr w:rsidR="0002153A" w:rsidRPr="00402185" w:rsidTr="00C3565B">
        <w:trPr>
          <w:trHeight w:val="10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18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</w:tbl>
    <w:p w:rsidR="0002153A" w:rsidRPr="00402185" w:rsidRDefault="0002153A" w:rsidP="0002153A">
      <w:pPr>
        <w:rPr>
          <w:b/>
          <w:sz w:val="22"/>
          <w:szCs w:val="22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0065"/>
        <w:gridCol w:w="1842"/>
        <w:gridCol w:w="2127"/>
      </w:tblGrid>
      <w:tr w:rsidR="0002153A" w:rsidRPr="00402185" w:rsidTr="00C3565B">
        <w:trPr>
          <w:trHeight w:val="700"/>
        </w:trPr>
        <w:tc>
          <w:tcPr>
            <w:tcW w:w="675" w:type="dxa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0065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i/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Opis parametru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i/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Warunek graniczny-wymagany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i/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Oferowany parametr</w:t>
            </w:r>
          </w:p>
        </w:tc>
      </w:tr>
      <w:tr w:rsidR="0002153A" w:rsidRPr="00402185" w:rsidTr="00C3565B">
        <w:trPr>
          <w:trHeight w:val="560"/>
        </w:trPr>
        <w:tc>
          <w:tcPr>
            <w:tcW w:w="10740" w:type="dxa"/>
            <w:gridSpan w:val="2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System obrazowania fluorescencyjnego o wysokiej rozdzielczości do obrazowania fluorescencyjnego</w:t>
            </w:r>
          </w:p>
          <w:p w:rsidR="0002153A" w:rsidRPr="00402185" w:rsidRDefault="0002153A" w:rsidP="00C3565B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Monitor medyczny</w:t>
            </w:r>
          </w:p>
        </w:tc>
        <w:tc>
          <w:tcPr>
            <w:tcW w:w="1842" w:type="dxa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Rozdzielczość obrazu min.4096 x 2160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color w:val="000000"/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Matryca monitora LCD z podświetleniem LED - typ panelu wyświetlacza LCD: IPS-Pro TFT AM LCD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color w:val="000000"/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0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Przekątna ekranu min. 32”, ekran panoramiczny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Rozmiar plamki: 0.1704 x 0.1704 mm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Jasność: 525 cd/m² standard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720"/>
        </w:trPr>
        <w:tc>
          <w:tcPr>
            <w:tcW w:w="675" w:type="dxa"/>
            <w:tcBorders>
              <w:bottom w:val="single" w:sz="4" w:space="0" w:color="auto"/>
            </w:tcBorders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Kontrast: 1500:1 standard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Prekonfigurowane ustawienia dla różnych specjalności chirurgicznych (temperatura barwowa) 10 specjalności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A" w:rsidRPr="00402185" w:rsidRDefault="0002153A" w:rsidP="00C3565B">
            <w:pPr>
              <w:jc w:val="center"/>
              <w:rPr>
                <w:color w:val="000000"/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  <w:tcBorders>
              <w:top w:val="single" w:sz="4" w:space="0" w:color="auto"/>
            </w:tcBorders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Wbudowane efekty cyfrowe typu PIP (obraz w obrazie), POP (obraz na obrazie), PBP (obraz przy obrazie), zatrzymanie obrazu, powiększenie/dopasowanie obrazu  - minimum 4 efekty.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Dwustronna powłoka antyrefleksyjna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Twardość zintegrowanej z wyświetlaczem warstwy ochronnej: 3H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Możliwość wprowadzania niestandardowej nazwy użytkownika wyświetlanej podczas uruchamiania monitora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Sterowanie monitorem poprzez pokrętło i 4 przyciski na panelu przednim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Wejścia.:(x1) DVI-I; (x1) HDMI 1.4; (x1) HDMI 2.0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Format obrazu.: DVI do 1920x1080p - 60hz; HDMI 1.4 do 1920x1080p - 60Hz; HDMI 2.0 do 4096 x 2160p - 60Hz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Wyświetlana ilość kolorów – 1073 milionów (10–bit)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Możliwość regulacji kolorów: czerwony, zielony, niebieski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Regulacja ustawień obrazu: jasność, kontrast, faza, nasycenie, ostrość obrazu, ostrość video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Możliwość zatrzymania obrazu (freeze frame)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Zużycie energii: 85W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Wymiary: 756.7 x 453.07 x 77.2mm (szerokość × wysokość × głębokość)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Otwory montażowe standard VESA – 100mm×100mm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Zasilanie: AC 100-240V 50/60Hz 2.5A - 1.5A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color w:val="000000"/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Waga netto monitora: 10,5 kg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jc w:val="center"/>
              <w:rPr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C3565B" w:rsidRPr="00402185" w:rsidTr="00C3565B">
        <w:trPr>
          <w:trHeight w:val="560"/>
        </w:trPr>
        <w:tc>
          <w:tcPr>
            <w:tcW w:w="14709" w:type="dxa"/>
            <w:gridSpan w:val="4"/>
            <w:vAlign w:val="center"/>
          </w:tcPr>
          <w:p w:rsidR="00C3565B" w:rsidRPr="00402185" w:rsidRDefault="00C3565B" w:rsidP="00C3565B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Wideoprocesor – 1 szt.</w:t>
            </w: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W w:w="9072" w:type="dxa"/>
              <w:tblInd w:w="70" w:type="dxa"/>
              <w:tblLayout w:type="fixed"/>
              <w:tblLook w:val="0400" w:firstRow="0" w:lastRow="0" w:firstColumn="0" w:lastColumn="0" w:noHBand="0" w:noVBand="1"/>
            </w:tblPr>
            <w:tblGrid>
              <w:gridCol w:w="9072"/>
            </w:tblGrid>
            <w:tr w:rsidR="0002153A" w:rsidRPr="00402185" w:rsidTr="00C3565B">
              <w:trPr>
                <w:trHeight w:val="30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2153A" w:rsidRPr="00402185" w:rsidRDefault="0002153A" w:rsidP="00C3565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02185">
                    <w:rPr>
                      <w:color w:val="000000"/>
                      <w:sz w:val="22"/>
                      <w:szCs w:val="22"/>
                    </w:rPr>
                    <w:t>Konsola wideoprocesora ze zintegrowanym źródłem światła</w:t>
                  </w:r>
                </w:p>
              </w:tc>
            </w:tr>
            <w:tr w:rsidR="0002153A" w:rsidRPr="00402185" w:rsidTr="00C3565B">
              <w:trPr>
                <w:trHeight w:val="30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2153A" w:rsidRPr="00402185" w:rsidRDefault="0002153A" w:rsidP="00C3565B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Źródło światła wyposażone w zestaw diod fotoluminescencyjnych oraz diodę lasera NIR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0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W w:w="9072" w:type="dxa"/>
              <w:tblInd w:w="70" w:type="dxa"/>
              <w:tblLayout w:type="fixed"/>
              <w:tblLook w:val="0400" w:firstRow="0" w:lastRow="0" w:firstColumn="0" w:lastColumn="0" w:noHBand="0" w:noVBand="1"/>
            </w:tblPr>
            <w:tblGrid>
              <w:gridCol w:w="9072"/>
            </w:tblGrid>
            <w:tr w:rsidR="0002153A" w:rsidRPr="00402185" w:rsidTr="00C3565B">
              <w:trPr>
                <w:trHeight w:val="30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2153A" w:rsidRPr="00402185" w:rsidRDefault="0002153A" w:rsidP="00C3565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02185">
                    <w:rPr>
                      <w:color w:val="000000"/>
                      <w:sz w:val="22"/>
                      <w:szCs w:val="22"/>
                    </w:rPr>
                    <w:t>Wyjścia sygna</w:t>
                  </w:r>
                  <w:r w:rsidRPr="00402185">
                    <w:rPr>
                      <w:sz w:val="22"/>
                      <w:szCs w:val="22"/>
                    </w:rPr>
                    <w:t>ł</w:t>
                  </w:r>
                  <w:r w:rsidRPr="00402185">
                    <w:rPr>
                      <w:color w:val="000000"/>
                      <w:sz w:val="22"/>
                      <w:szCs w:val="22"/>
                    </w:rPr>
                    <w:t>u wideo:HD-SDI, 3G-SDI, DVI</w:t>
                  </w:r>
                </w:p>
              </w:tc>
            </w:tr>
            <w:tr w:rsidR="0002153A" w:rsidRPr="00402185" w:rsidTr="00C3565B">
              <w:trPr>
                <w:trHeight w:val="30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2153A" w:rsidRPr="00402185" w:rsidRDefault="0002153A" w:rsidP="00C3565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02185">
                    <w:rPr>
                      <w:color w:val="000000"/>
                      <w:sz w:val="22"/>
                      <w:szCs w:val="22"/>
                    </w:rPr>
                    <w:t>Format HD: HD-SDI 1080i 59.94 / 3G-SDI 1080p 59.94</w:t>
                  </w:r>
                </w:p>
              </w:tc>
            </w:tr>
          </w:tbl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Rozdzielczość obrazu 1920x1080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Konsola wideoprocesora umożliwiająca współpracę z głowicą kamery endoskopowej i głowicą kamery dedykowaną do zabiegów klasycznych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W w:w="9072" w:type="dxa"/>
              <w:tblInd w:w="70" w:type="dxa"/>
              <w:tblLayout w:type="fixed"/>
              <w:tblLook w:val="0400" w:firstRow="0" w:lastRow="0" w:firstColumn="0" w:lastColumn="0" w:noHBand="0" w:noVBand="1"/>
            </w:tblPr>
            <w:tblGrid>
              <w:gridCol w:w="9072"/>
            </w:tblGrid>
            <w:tr w:rsidR="0002153A" w:rsidRPr="00402185" w:rsidTr="00C3565B">
              <w:trPr>
                <w:trHeight w:val="30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2153A" w:rsidRPr="00402185" w:rsidRDefault="0002153A" w:rsidP="00C3565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02185">
                    <w:rPr>
                      <w:color w:val="000000"/>
                      <w:sz w:val="22"/>
                      <w:szCs w:val="22"/>
                    </w:rPr>
                    <w:t>Możliwość pracy w trybie światła białego oraz 3 trybach obrazowania fluorescencyjnego:</w:t>
                  </w:r>
                </w:p>
              </w:tc>
            </w:tr>
            <w:tr w:rsidR="0002153A" w:rsidRPr="00402185" w:rsidTr="00C3565B">
              <w:trPr>
                <w:trHeight w:val="30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2153A" w:rsidRPr="00402185" w:rsidRDefault="0002153A" w:rsidP="00C3565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02185">
                    <w:rPr>
                      <w:color w:val="000000"/>
                      <w:sz w:val="22"/>
                      <w:szCs w:val="22"/>
                    </w:rPr>
                    <w:lastRenderedPageBreak/>
                    <w:t>- tryb nakładania koloru zielonego na obraz światła białego</w:t>
                  </w:r>
                </w:p>
              </w:tc>
            </w:tr>
            <w:tr w:rsidR="0002153A" w:rsidRPr="00402185" w:rsidTr="00C3565B">
              <w:trPr>
                <w:trHeight w:val="30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2153A" w:rsidRPr="00402185" w:rsidRDefault="0002153A" w:rsidP="00C3565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02185">
                    <w:rPr>
                      <w:color w:val="000000"/>
                      <w:sz w:val="22"/>
                      <w:szCs w:val="22"/>
                    </w:rPr>
                    <w:t>- tryb obrazu fluorescencji NIR w skali szarości</w:t>
                  </w:r>
                </w:p>
              </w:tc>
            </w:tr>
            <w:tr w:rsidR="0002153A" w:rsidRPr="00402185" w:rsidTr="00C3565B">
              <w:trPr>
                <w:trHeight w:val="30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2153A" w:rsidRPr="00402185" w:rsidRDefault="0002153A" w:rsidP="00C3565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02185">
                    <w:rPr>
                      <w:color w:val="000000"/>
                      <w:sz w:val="22"/>
                      <w:szCs w:val="22"/>
                    </w:rPr>
                    <w:t>- tryb obrazu białego światła  wyświetlanego w skali szarości z obrazowaniem fluorescencyjnym NIR nałożonym na skalę kolorów - odzwierciedla gradientowo wysycenie barwinka w tkankach</w:t>
                  </w:r>
                </w:p>
              </w:tc>
            </w:tr>
          </w:tbl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W w:w="9072" w:type="dxa"/>
              <w:tblInd w:w="70" w:type="dxa"/>
              <w:tblLayout w:type="fixed"/>
              <w:tblLook w:val="0400" w:firstRow="0" w:lastRow="0" w:firstColumn="0" w:lastColumn="0" w:noHBand="0" w:noVBand="1"/>
            </w:tblPr>
            <w:tblGrid>
              <w:gridCol w:w="9072"/>
            </w:tblGrid>
            <w:tr w:rsidR="0002153A" w:rsidRPr="00402185" w:rsidTr="00C3565B">
              <w:trPr>
                <w:trHeight w:val="30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2153A" w:rsidRPr="00402185" w:rsidRDefault="0002153A" w:rsidP="00C3565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02185">
                    <w:rPr>
                      <w:color w:val="000000"/>
                      <w:sz w:val="22"/>
                      <w:szCs w:val="22"/>
                    </w:rPr>
                    <w:t>Możliwość zapisania 4 profili użytkowników</w:t>
                  </w:r>
                </w:p>
              </w:tc>
            </w:tr>
          </w:tbl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C3565B" w:rsidRPr="00402185" w:rsidTr="00C3565B">
        <w:trPr>
          <w:trHeight w:val="560"/>
        </w:trPr>
        <w:tc>
          <w:tcPr>
            <w:tcW w:w="14709" w:type="dxa"/>
            <w:gridSpan w:val="4"/>
            <w:vAlign w:val="center"/>
          </w:tcPr>
          <w:p w:rsidR="00C3565B" w:rsidRPr="00402185" w:rsidRDefault="00C3565B" w:rsidP="00C3565B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Głowica kamery endoskopowej – 1szt</w:t>
            </w:r>
          </w:p>
          <w:p w:rsidR="00C3565B" w:rsidRPr="00402185" w:rsidRDefault="00C3565B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178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Możliwość sterowania z głowicy kamery następującymi funkcjami:         </w:t>
            </w:r>
          </w:p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▪ Włączanie i wyłączanie                                                          </w:t>
            </w:r>
            <w:r w:rsidRPr="00402185">
              <w:rPr>
                <w:color w:val="000000"/>
                <w:sz w:val="22"/>
                <w:szCs w:val="22"/>
              </w:rPr>
              <w:br/>
              <w:t>▪ Zwiększanie ostrości obrazu</w:t>
            </w:r>
            <w:r w:rsidRPr="00402185">
              <w:rPr>
                <w:color w:val="000000"/>
                <w:sz w:val="22"/>
                <w:szCs w:val="22"/>
              </w:rPr>
              <w:br/>
              <w:t>▪ Wybór trybów wyświetlania</w:t>
            </w:r>
            <w:r w:rsidRPr="00402185">
              <w:rPr>
                <w:color w:val="000000"/>
                <w:sz w:val="22"/>
                <w:szCs w:val="22"/>
              </w:rPr>
              <w:br/>
              <w:t xml:space="preserve">▪ Włączanie i wstrzymywanie nagrywania </w:t>
            </w:r>
            <w:r w:rsidRPr="00402185">
              <w:rPr>
                <w:color w:val="000000"/>
                <w:sz w:val="22"/>
                <w:szCs w:val="22"/>
              </w:rPr>
              <w:br/>
              <w:t>▪ Zapisywanie zrzutów z ekranu</w:t>
            </w:r>
            <w:r w:rsidRPr="00402185">
              <w:rPr>
                <w:color w:val="000000"/>
                <w:sz w:val="22"/>
                <w:szCs w:val="22"/>
              </w:rPr>
              <w:br/>
              <w:t>▪ Uzyskiwanie dostępu do menu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Głowica kamery wyposażona w przetworniki wysokiej rozdzielczości w technologii CMOS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Rozdzielczość obrazu 1080p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Współczynnik kształtu obrazu 16:9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Ciężar głowicy kamery 240g (bez przewodu)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Długość przewodu 3m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60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Dedykowana kaseta sterylizacyjna do kamery endoskopowej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color w:val="000000"/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C3565B" w:rsidRPr="00402185" w:rsidTr="00C3565B">
        <w:trPr>
          <w:trHeight w:val="560"/>
        </w:trPr>
        <w:tc>
          <w:tcPr>
            <w:tcW w:w="14709" w:type="dxa"/>
            <w:gridSpan w:val="4"/>
            <w:vAlign w:val="center"/>
          </w:tcPr>
          <w:p w:rsidR="00C3565B" w:rsidRPr="00402185" w:rsidRDefault="00C3565B" w:rsidP="00C3565B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Głowica kamery do zabiegów klasycznych – 1 szt.</w:t>
            </w: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Głowica wyposażona w 4 przyciski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Mo</w:t>
            </w:r>
            <w:r w:rsidRPr="00402185">
              <w:rPr>
                <w:sz w:val="22"/>
                <w:szCs w:val="22"/>
              </w:rPr>
              <w:t>ż</w:t>
            </w:r>
            <w:r w:rsidRPr="00402185">
              <w:rPr>
                <w:color w:val="000000"/>
                <w:sz w:val="22"/>
                <w:szCs w:val="22"/>
              </w:rPr>
              <w:t>liwość sterowania z głowicy kamery następującymi funkcjami:</w:t>
            </w:r>
          </w:p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▪Włączanie systemu do trybu gotowości</w:t>
            </w:r>
          </w:p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▪ Zwiększanie ostrości obrazu</w:t>
            </w:r>
          </w:p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▪ Włączanie oświetlenia fluorescencyjnego</w:t>
            </w:r>
          </w:p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▪ Wybór trybów wyświetlania obrazów fluorescencji</w:t>
            </w:r>
          </w:p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▪ Przełączanie pomiędzy trybami Fluorescence i White Light Illumination</w:t>
            </w:r>
          </w:p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▪ Powrót do trybu gotowości i wyłączenie systemu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Funkcja odwrócenia wyświetlanego obrazu o 180°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Rozdzielczość obrazu 1080p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Współczynnik kształtu obrazu 16:9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Ciężar głowicy kamery 495g (bez przewodu)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Długość przewodu</w:t>
            </w:r>
            <w:r w:rsidRPr="00402185">
              <w:rPr>
                <w:sz w:val="22"/>
                <w:szCs w:val="22"/>
              </w:rPr>
              <w:t xml:space="preserve"> 3m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bottom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W komplecie jednorazowe sterylne osłony głowicy (40 szt)</w:t>
            </w:r>
          </w:p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color w:val="000000"/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C3565B" w:rsidRPr="00402185" w:rsidTr="00C3565B">
        <w:trPr>
          <w:trHeight w:val="560"/>
        </w:trPr>
        <w:tc>
          <w:tcPr>
            <w:tcW w:w="14709" w:type="dxa"/>
            <w:gridSpan w:val="4"/>
            <w:vAlign w:val="center"/>
          </w:tcPr>
          <w:p w:rsidR="00C3565B" w:rsidRPr="00402185" w:rsidRDefault="00C3565B" w:rsidP="00C3565B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Światłowód – 3 szt.</w:t>
            </w: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Długość 3m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Średnica 4,9mm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lastRenderedPageBreak/>
              <w:t>Widmo transmisji: światło widzialne +NIR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Kontener do sterylizacji światłowodu i 2 optyk w komplecie z każdym światłowodem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Możliwość sterylizacji w autoklawie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3565B" w:rsidRPr="00402185" w:rsidTr="00C3565B">
        <w:trPr>
          <w:trHeight w:val="560"/>
        </w:trPr>
        <w:tc>
          <w:tcPr>
            <w:tcW w:w="14709" w:type="dxa"/>
            <w:gridSpan w:val="4"/>
            <w:vAlign w:val="center"/>
          </w:tcPr>
          <w:p w:rsidR="00C3565B" w:rsidRPr="00402185" w:rsidRDefault="00C3565B" w:rsidP="00C3565B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Optyka laparoskopowa – 4 szt.</w:t>
            </w: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Optyka laparoskopowa o średnicy 5mm (kąt 30° i 0°) oraz 10 mm (kąt 30° i 0°)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Rozdzielczość HD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Widmo transmisji VIS + NIR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Długość robocza 320mm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Możliwość sterylizacji w autoklawie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Kompatybilna z dedykowanym wideoprocesorem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3565B" w:rsidRPr="00402185" w:rsidTr="00C3565B">
        <w:trPr>
          <w:trHeight w:val="660"/>
        </w:trPr>
        <w:tc>
          <w:tcPr>
            <w:tcW w:w="14709" w:type="dxa"/>
            <w:gridSpan w:val="4"/>
          </w:tcPr>
          <w:p w:rsidR="00C3565B" w:rsidRPr="00402185" w:rsidRDefault="00C3565B" w:rsidP="00C3565B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Insuflator CO2 – 1 szt.</w:t>
            </w:r>
          </w:p>
        </w:tc>
      </w:tr>
      <w:tr w:rsidR="0002153A" w:rsidRPr="00402185" w:rsidTr="00C3565B">
        <w:trPr>
          <w:trHeight w:val="66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Regulacja przepływu insuflacji do 45l/min, rozdzielczości regulacji - 0,1 l/min.  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Zakres regulacji ciśnienia insuflacji min. 1-30mmHg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Funkcja ciągłego pomiaru ciśnienia CO2. (insuflator podaje CO2 w sposób ciągły nieprzerywany i bezskokowy do wysokości zadanej wartości ciśnienia insuflacji z dwóch niezależnych portów)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Czytelny wyświetlacz LCD prezentujący wartości numeryczne parametrów zadanych, aktualnych oraz ilość zużytego gazu.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Ciekłokrystaliczny, kolorowy ekran dotykowy 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Funkcja automatycznej desuflacji – możliwość ustawienia progu ciśnienia i czasu uruchomienia desuflacji zwiększająca bezpieczeństwo pracy.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Funkcja podgrzewania gazu.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Możliwość sterowania pracą insuflatora komendami głosowymi w systemie 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Możliwość zasilania gazem z butli oraz z sieci centralnej CO2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Cztery tryby pracy insuflatora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 xml:space="preserve">Menu urządzenia w języku polskim wyświetlane na panelu sterującym 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Ostrzegawcze komunikaty dźwiękowe oraz tekstowe – „zatkanie”, „zanieczyszczenie”, „nadciśnienie”, „system odpowietrzający aktywny”, „ogrzewanie gazu”, „uszkodzenie drenu” 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Maksymalne ciśnienie wyjściowe: 75 mm Hg 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Maksymalne ciśnienie dopływu gazu: 80 bar/1160 PSI 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Minimalne ciśnienie dopływu gazu (butla gazowa): 15 bar/218 PSI 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Minimalne ciśnienie dopływu gazu (gaz z instalacji): 3,4 bar/50 PSI 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Zakres pomiarowy dopływu gazu: 0-50 bar/0-725 PSI 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Max. pobór mocy: 150 VA 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Max. pobór prądu: 630 mA 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Masa: ok. 9 kg 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Wysokociśnieniowy przewód łączący insuflator z centralnym dopływem gazu – długość 3m lub 5m – 1szt.</w:t>
            </w:r>
          </w:p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Adapter drenów wielorazowych – 1 szt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520"/>
        </w:trPr>
        <w:tc>
          <w:tcPr>
            <w:tcW w:w="675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Wielorazowy dren do insuflatora – 3 szt. </w:t>
            </w:r>
            <w:r w:rsidRPr="00402185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sz w:val="22"/>
                <w:szCs w:val="22"/>
              </w:rPr>
            </w:pPr>
          </w:p>
        </w:tc>
      </w:tr>
      <w:tr w:rsidR="00C3565B" w:rsidRPr="00402185" w:rsidTr="00C3565B">
        <w:trPr>
          <w:trHeight w:val="577"/>
        </w:trPr>
        <w:tc>
          <w:tcPr>
            <w:tcW w:w="14709" w:type="dxa"/>
            <w:gridSpan w:val="4"/>
          </w:tcPr>
          <w:p w:rsidR="00C3565B" w:rsidRPr="00402185" w:rsidRDefault="00C3565B" w:rsidP="00C3565B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Pompa laparoskopowa jednorazowa – 10 op.</w:t>
            </w:r>
          </w:p>
        </w:tc>
      </w:tr>
    </w:tbl>
    <w:p w:rsidR="0002153A" w:rsidRPr="00402185" w:rsidRDefault="0002153A" w:rsidP="000215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</w:p>
    <w:tbl>
      <w:tblPr>
        <w:tblW w:w="147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064"/>
        <w:gridCol w:w="1814"/>
        <w:gridCol w:w="2127"/>
      </w:tblGrid>
      <w:tr w:rsidR="0002153A" w:rsidRPr="00402185" w:rsidTr="00C3565B">
        <w:trPr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Pompa ssąco-płucząca, zasilana bateryjnie, zawierająca instrument ssąco-płuczący z manualną regulacją siły ssania, wyposażona w końcówkę roboczą o średnicy 5mm, w komplecie zestaw drenów napływowych i odpływowych, pakowana zbiorczo po 6szt</w:t>
            </w:r>
          </w:p>
        </w:tc>
        <w:tc>
          <w:tcPr>
            <w:tcW w:w="1814" w:type="dxa"/>
            <w:vAlign w:val="center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</w:tbl>
    <w:p w:rsidR="0002153A" w:rsidRPr="00402185" w:rsidRDefault="0002153A" w:rsidP="000215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W w:w="147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0064"/>
        <w:gridCol w:w="1701"/>
        <w:gridCol w:w="2127"/>
      </w:tblGrid>
      <w:tr w:rsidR="00C3565B" w:rsidRPr="00402185" w:rsidTr="00C3565B">
        <w:tc>
          <w:tcPr>
            <w:tcW w:w="14714" w:type="dxa"/>
            <w:gridSpan w:val="4"/>
            <w:vAlign w:val="center"/>
          </w:tcPr>
          <w:p w:rsidR="00C3565B" w:rsidRPr="00402185" w:rsidRDefault="00C3565B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3565B" w:rsidRPr="00402185" w:rsidRDefault="00C3565B" w:rsidP="00C3565B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Wózek aparaturowy – 1szt.</w:t>
            </w: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Wózek aparaturowy z atestem medycznym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Jezdny z uchwytami do przemieszczania i blokadą kół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Minimum 3 półki z regulowaną wysokością, szerokość półki max 45 cm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Listwa zasilająca z min. 10 gniazdami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rPr>
          <w:trHeight w:val="3100"/>
        </w:trPr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W komplecie/ zestawie: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- uchwyt do </w:t>
            </w:r>
            <w:r w:rsidRPr="00402185">
              <w:rPr>
                <w:sz w:val="22"/>
                <w:szCs w:val="22"/>
              </w:rPr>
              <w:t>ś</w:t>
            </w:r>
            <w:r w:rsidRPr="00402185">
              <w:rPr>
                <w:color w:val="000000"/>
                <w:sz w:val="22"/>
                <w:szCs w:val="22"/>
              </w:rPr>
              <w:t>wiatłowodu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- uchwyt na głowicę kamery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- możliwość montażu dodatkowego uchwytu monitora po lewej lub prawej stronie wózka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- uchwyt dla pompy artroskopowej 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- wieszak na worki z płynem do irygacji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- możliwość umieszczenia okablowania w ramie wózka</w:t>
            </w:r>
          </w:p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- możliwość podłączenia dodatkowych urządzeń elektrycznych bez konieczności używania dodatkowych przedłużaczy</w:t>
            </w:r>
          </w:p>
        </w:tc>
        <w:tc>
          <w:tcPr>
            <w:tcW w:w="1701" w:type="dxa"/>
            <w:vAlign w:val="center"/>
          </w:tcPr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 xml:space="preserve">Ramię wózka umieszczone centralnie o dł. min, 700 mm 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Możliwość ustawiania monitora w min. 3 płaszczyznach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Transformator izolacyjny wbudowany w ramę wózka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C3565B" w:rsidRPr="00402185" w:rsidTr="00C3565B">
        <w:trPr>
          <w:trHeight w:val="320"/>
        </w:trPr>
        <w:tc>
          <w:tcPr>
            <w:tcW w:w="14714" w:type="dxa"/>
            <w:gridSpan w:val="4"/>
          </w:tcPr>
          <w:p w:rsidR="00C3565B" w:rsidRPr="00402185" w:rsidRDefault="00C3565B" w:rsidP="00C3565B">
            <w:pPr>
              <w:jc w:val="center"/>
              <w:rPr>
                <w:b/>
                <w:sz w:val="22"/>
                <w:szCs w:val="22"/>
              </w:rPr>
            </w:pPr>
          </w:p>
          <w:p w:rsidR="00C3565B" w:rsidRPr="00402185" w:rsidRDefault="00C3565B" w:rsidP="00C3565B">
            <w:pPr>
              <w:pStyle w:val="Akapitzlist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Cyfrowy Rejestrator Medyczny – 1szt</w:t>
            </w:r>
          </w:p>
          <w:p w:rsidR="00C3565B" w:rsidRPr="00402185" w:rsidRDefault="00C3565B" w:rsidP="00C356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Uchylny dotykowy panel (8-calowy, kolorowy wyświetlacz TFT LCD) zastępujący klawiaturę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Wyświetlanie obrazu w obrazie (funkcja PIP), obrazu przy obrazie (PbP)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Personalizacja zdjęć i sekwencji wideo: możliwość wpisywania danych pacjenta i adnotacji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Możliwość utworzenia wielu kont użytkowników łatwo rozpoznawalnych dzięki wgranym zdjęciom / ikonom na ekranie głównym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Współpraca z drukarką: możliwość ustawienia drukarki według własnych preferencji z poziomu SDC 3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 xml:space="preserve">Lista bezpieczeństwa chirurgicznego z możliwością konfiguracji przez użytkownika 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Zapis dźwięku i komentarzy głosowych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Możliwość sterowania głosowego rejestratorem i wybranymi urządzeniami medycznymi podłączonymi do systemu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Możliwość sterowania rejestratorem i wybranymi urządzeniami medycznymi poprzez pilota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Wyświetlanie na ekranie statusu wybranych urządzeń chirurgicznych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Obraz:</w:t>
            </w:r>
          </w:p>
          <w:p w:rsidR="0002153A" w:rsidRPr="00402185" w:rsidRDefault="0002153A" w:rsidP="00C3565B">
            <w:pPr>
              <w:rPr>
                <w:sz w:val="22"/>
                <w:szCs w:val="22"/>
                <w:lang w:val="en-GB"/>
              </w:rPr>
            </w:pPr>
            <w:r w:rsidRPr="00402185">
              <w:rPr>
                <w:sz w:val="22"/>
                <w:szCs w:val="22"/>
                <w:lang w:val="en-GB"/>
              </w:rPr>
              <w:t>Rozdzielczość</w:t>
            </w:r>
            <w:r w:rsidRPr="00402185">
              <w:rPr>
                <w:b/>
                <w:sz w:val="22"/>
                <w:szCs w:val="22"/>
                <w:lang w:val="en-GB"/>
              </w:rPr>
              <w:t xml:space="preserve">: </w:t>
            </w:r>
            <w:r w:rsidRPr="00402185">
              <w:rPr>
                <w:b/>
                <w:sz w:val="22"/>
                <w:szCs w:val="22"/>
                <w:lang w:val="en-GB"/>
              </w:rPr>
              <w:tab/>
            </w:r>
            <w:r w:rsidRPr="00402185">
              <w:rPr>
                <w:sz w:val="22"/>
                <w:szCs w:val="22"/>
                <w:lang w:val="en-GB"/>
              </w:rPr>
              <w:t>NTSC: 640 × 480 PAL: 768 × 576 ,XGA: 1024 × 768, SXGA: 1280 ×1024,High Definition 720: 1280 × 720,High Definition 1080: 1920 × 1080</w:t>
            </w:r>
          </w:p>
          <w:p w:rsidR="0002153A" w:rsidRPr="00402185" w:rsidRDefault="0002153A" w:rsidP="00C3565B">
            <w:pPr>
              <w:rPr>
                <w:sz w:val="22"/>
                <w:szCs w:val="22"/>
                <w:lang w:val="en-GB"/>
              </w:rPr>
            </w:pPr>
            <w:r w:rsidRPr="00402185">
              <w:rPr>
                <w:b/>
                <w:sz w:val="22"/>
                <w:szCs w:val="22"/>
                <w:lang w:val="en-GB"/>
              </w:rPr>
              <w:t xml:space="preserve">Format: </w:t>
            </w:r>
            <w:r w:rsidRPr="00402185">
              <w:rPr>
                <w:sz w:val="22"/>
                <w:szCs w:val="22"/>
                <w:lang w:val="en-GB"/>
              </w:rPr>
              <w:t>Bitmapa (BMP), Joint Photographic Experts Group (JPG, JPEG), JPEG2000, Tagged Image File Format (TIFF), Truevision Targa (TGA), Portable Network Graphics (PNG)</w:t>
            </w:r>
          </w:p>
          <w:p w:rsidR="0002153A" w:rsidRPr="00402185" w:rsidRDefault="0002153A" w:rsidP="00C3565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dwa niezależne kanały wideo:  możliwość jednoczesnej rejestracji sygnałów z dwóch źródeł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 xml:space="preserve">Opcje zapisu obrazów i sekwencji wideo: wbudowany dysk twardy (zapis automatyczny), </w:t>
            </w:r>
            <w:r w:rsidRPr="00402185">
              <w:rPr>
                <w:b/>
                <w:sz w:val="22"/>
                <w:szCs w:val="22"/>
              </w:rPr>
              <w:t>płyta (CD lub DVD</w:t>
            </w:r>
            <w:r w:rsidRPr="00402185">
              <w:rPr>
                <w:sz w:val="22"/>
                <w:szCs w:val="22"/>
              </w:rPr>
              <w:t>), pamięć USB, lokalizacje sieciowe (Serwer FTP)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Możliwość nagrywania w formatach : MPEG 2 i MPEG 4 (wysoka rozdzielczość)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Moduł obsługi DICOM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Wbudowany twardy dysk o pojemności 1Tb (zapis automatyczny)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02153A" w:rsidP="000215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>Dwa wejścia DVI , dwa wyjścia DVI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sz w:val="22"/>
                <w:szCs w:val="22"/>
              </w:rPr>
            </w:pPr>
          </w:p>
        </w:tc>
      </w:tr>
      <w:tr w:rsidR="00402185" w:rsidRPr="00402185" w:rsidTr="00794F99">
        <w:trPr>
          <w:trHeight w:val="320"/>
        </w:trPr>
        <w:tc>
          <w:tcPr>
            <w:tcW w:w="14714" w:type="dxa"/>
            <w:gridSpan w:val="4"/>
          </w:tcPr>
          <w:p w:rsidR="00402185" w:rsidRPr="00402185" w:rsidRDefault="00402185" w:rsidP="00C3565B">
            <w:pPr>
              <w:jc w:val="center"/>
              <w:rPr>
                <w:b/>
                <w:sz w:val="22"/>
                <w:szCs w:val="22"/>
              </w:rPr>
            </w:pPr>
          </w:p>
          <w:p w:rsidR="00402185" w:rsidRPr="00402185" w:rsidRDefault="00402185" w:rsidP="00C3565B">
            <w:pPr>
              <w:jc w:val="center"/>
              <w:rPr>
                <w:b/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WARUNKI GWARANCYJNE</w:t>
            </w: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402185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 w:rsidRPr="00402185">
              <w:rPr>
                <w:color w:val="000000"/>
                <w:sz w:val="22"/>
                <w:szCs w:val="22"/>
              </w:rPr>
              <w:t xml:space="preserve">Pełna gwarancja (bez wyłączeń)  na dostarczony sprzęt i oprogramowanie na okres minimum 24 miesięcy 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402185" w:rsidP="0040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Czas reakcji na zgłoszenie usterki  24 godzin w dni robocze rozumiane jako dni od pn.-pt.  z wyłączeniem dni ustawowo wolnych od pracy. Czas reakcji w dni ustawowo wolne od pracy – 48 godzin.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402185" w:rsidP="0040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Czas reakcji na zgłoszenie usterki  24 godzin w dni robocze rozumiane jako dni od pn.-pt.  z wyłączeniem dni ustawowo wolnych od pracy. Czas reakcji w dni ustawowo wolne od pracy – 48 godzin.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402185" w:rsidP="0040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Czas skutecznej naprawy z użyciem  części zamiennych licząc od momentu zgłoszenia awarii – max 6 dni roboczych  rozumiane jako dni od pn.-pt. z wyłączeniem dni ustawowo wolnych od pracy.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402185" w:rsidP="0040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W trakcie trwania gwarancji wszystkie naprawy oraz przeglądy techniczne przewidziane przez producenta wraz z materiałami zużywalnymi wykonywane na koszt Wykonawcy łącznie z dojazdem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402185" w:rsidP="0040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Autoryzowane, posiadające stosowne uprawnienia punkty serwisowe na terenie Polski</w:t>
            </w:r>
          </w:p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lastRenderedPageBreak/>
              <w:t>Numer kontaktowy z serwisem Wykonawcy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b/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lastRenderedPageBreak/>
              <w:t>TAK</w:t>
            </w:r>
          </w:p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lastRenderedPageBreak/>
              <w:t>podać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402185" w:rsidP="0040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Szkolenie w zakresie obsługi sprzętu w siedzibie zamawiającego dla personelu medycznego oraz technicznego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</w:p>
        </w:tc>
      </w:tr>
      <w:tr w:rsidR="0002153A" w:rsidRPr="00402185" w:rsidTr="00C3565B">
        <w:tc>
          <w:tcPr>
            <w:tcW w:w="822" w:type="dxa"/>
          </w:tcPr>
          <w:p w:rsidR="0002153A" w:rsidRPr="00402185" w:rsidRDefault="00402185" w:rsidP="004021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0064" w:type="dxa"/>
            <w:vAlign w:val="center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Instrukcja użytkowania w języku polskim</w:t>
            </w:r>
          </w:p>
        </w:tc>
        <w:tc>
          <w:tcPr>
            <w:tcW w:w="1701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</w:p>
        </w:tc>
      </w:tr>
    </w:tbl>
    <w:p w:rsidR="0002153A" w:rsidRPr="00402185" w:rsidRDefault="0002153A" w:rsidP="0002153A">
      <w:pPr>
        <w:rPr>
          <w:b/>
          <w:color w:val="FF0000"/>
          <w:sz w:val="22"/>
          <w:szCs w:val="22"/>
        </w:rPr>
      </w:pPr>
    </w:p>
    <w:p w:rsidR="0002153A" w:rsidRDefault="0002153A" w:rsidP="0002153A">
      <w:pPr>
        <w:rPr>
          <w:b/>
          <w:color w:val="FF0000"/>
          <w:sz w:val="22"/>
          <w:szCs w:val="22"/>
        </w:rPr>
      </w:pPr>
    </w:p>
    <w:p w:rsidR="00402185" w:rsidRDefault="00402185" w:rsidP="0002153A">
      <w:pPr>
        <w:rPr>
          <w:b/>
          <w:color w:val="FF0000"/>
          <w:sz w:val="22"/>
          <w:szCs w:val="22"/>
        </w:rPr>
      </w:pPr>
    </w:p>
    <w:p w:rsidR="00402185" w:rsidRDefault="00402185" w:rsidP="0002153A">
      <w:pPr>
        <w:rPr>
          <w:b/>
          <w:color w:val="FF0000"/>
          <w:sz w:val="22"/>
          <w:szCs w:val="22"/>
        </w:rPr>
      </w:pPr>
    </w:p>
    <w:p w:rsidR="00402185" w:rsidRDefault="00402185" w:rsidP="0002153A">
      <w:pPr>
        <w:rPr>
          <w:b/>
          <w:color w:val="FF0000"/>
          <w:sz w:val="22"/>
          <w:szCs w:val="22"/>
        </w:rPr>
      </w:pPr>
    </w:p>
    <w:p w:rsidR="00402185" w:rsidRDefault="00402185" w:rsidP="0002153A">
      <w:pPr>
        <w:rPr>
          <w:b/>
          <w:color w:val="FF0000"/>
          <w:sz w:val="22"/>
          <w:szCs w:val="22"/>
        </w:rPr>
      </w:pPr>
    </w:p>
    <w:p w:rsidR="00402185" w:rsidRDefault="00402185" w:rsidP="0002153A">
      <w:pPr>
        <w:rPr>
          <w:b/>
          <w:color w:val="FF0000"/>
          <w:sz w:val="22"/>
          <w:szCs w:val="22"/>
        </w:rPr>
      </w:pPr>
    </w:p>
    <w:p w:rsidR="00402185" w:rsidRPr="00402185" w:rsidRDefault="00402185" w:rsidP="0002153A">
      <w:pPr>
        <w:rPr>
          <w:b/>
          <w:color w:val="FF0000"/>
          <w:sz w:val="22"/>
          <w:szCs w:val="22"/>
        </w:rPr>
      </w:pPr>
    </w:p>
    <w:p w:rsidR="00402185" w:rsidRDefault="00402185" w:rsidP="0002153A">
      <w:pPr>
        <w:rPr>
          <w:b/>
          <w:sz w:val="22"/>
          <w:szCs w:val="22"/>
        </w:rPr>
      </w:pPr>
    </w:p>
    <w:p w:rsidR="0002153A" w:rsidRPr="00402185" w:rsidRDefault="0002153A" w:rsidP="0002153A">
      <w:pPr>
        <w:rPr>
          <w:b/>
          <w:color w:val="FF0000"/>
          <w:sz w:val="22"/>
          <w:szCs w:val="22"/>
        </w:rPr>
      </w:pPr>
      <w:r w:rsidRPr="00402185">
        <w:rPr>
          <w:b/>
          <w:sz w:val="22"/>
          <w:szCs w:val="22"/>
        </w:rPr>
        <w:t>Lub aparat równoważny</w:t>
      </w:r>
    </w:p>
    <w:p w:rsidR="0002153A" w:rsidRPr="00402185" w:rsidRDefault="0002153A" w:rsidP="0002153A">
      <w:pPr>
        <w:rPr>
          <w:b/>
          <w:color w:val="FF0000"/>
          <w:sz w:val="22"/>
          <w:szCs w:val="22"/>
        </w:rPr>
      </w:pPr>
    </w:p>
    <w:p w:rsidR="0002153A" w:rsidRPr="00402185" w:rsidRDefault="0002153A" w:rsidP="0002153A">
      <w:pPr>
        <w:pStyle w:val="Akapitzlist"/>
        <w:numPr>
          <w:ilvl w:val="3"/>
          <w:numId w:val="6"/>
        </w:numPr>
        <w:rPr>
          <w:b/>
          <w:sz w:val="22"/>
          <w:szCs w:val="22"/>
        </w:rPr>
      </w:pPr>
      <w:r w:rsidRPr="00402185">
        <w:rPr>
          <w:b/>
          <w:sz w:val="22"/>
          <w:szCs w:val="22"/>
        </w:rPr>
        <w:t>Nazwa sprzętu:</w:t>
      </w:r>
    </w:p>
    <w:p w:rsidR="0002153A" w:rsidRPr="00402185" w:rsidRDefault="0002153A" w:rsidP="0002153A">
      <w:pPr>
        <w:pStyle w:val="Akapitzlist"/>
        <w:numPr>
          <w:ilvl w:val="3"/>
          <w:numId w:val="6"/>
        </w:numPr>
        <w:rPr>
          <w:b/>
          <w:sz w:val="22"/>
          <w:szCs w:val="22"/>
        </w:rPr>
      </w:pPr>
      <w:r w:rsidRPr="00402185">
        <w:rPr>
          <w:b/>
          <w:sz w:val="22"/>
          <w:szCs w:val="22"/>
        </w:rPr>
        <w:t>Model:</w:t>
      </w:r>
    </w:p>
    <w:p w:rsidR="0002153A" w:rsidRPr="00402185" w:rsidRDefault="0002153A" w:rsidP="0002153A">
      <w:pPr>
        <w:pStyle w:val="Akapitzlist"/>
        <w:numPr>
          <w:ilvl w:val="3"/>
          <w:numId w:val="6"/>
        </w:numPr>
        <w:rPr>
          <w:b/>
          <w:sz w:val="22"/>
          <w:szCs w:val="22"/>
        </w:rPr>
      </w:pPr>
      <w:r w:rsidRPr="00402185">
        <w:rPr>
          <w:b/>
          <w:sz w:val="22"/>
          <w:szCs w:val="22"/>
        </w:rPr>
        <w:t>Typ:</w:t>
      </w:r>
    </w:p>
    <w:p w:rsidR="0002153A" w:rsidRPr="00402185" w:rsidRDefault="0002153A" w:rsidP="0002153A">
      <w:pPr>
        <w:pStyle w:val="Akapitzlist"/>
        <w:numPr>
          <w:ilvl w:val="3"/>
          <w:numId w:val="6"/>
        </w:numPr>
        <w:rPr>
          <w:b/>
          <w:sz w:val="22"/>
          <w:szCs w:val="22"/>
        </w:rPr>
      </w:pPr>
      <w:r w:rsidRPr="00402185">
        <w:rPr>
          <w:b/>
          <w:sz w:val="22"/>
          <w:szCs w:val="22"/>
        </w:rPr>
        <w:t>Rok prod.: nie starszy niż 2019 (sprzęt fabrycznie nowy, nieużywany, nierekondycjonowany</w:t>
      </w:r>
      <w:r w:rsidR="00402185">
        <w:rPr>
          <w:b/>
          <w:sz w:val="22"/>
          <w:szCs w:val="22"/>
        </w:rPr>
        <w:t>)</w:t>
      </w:r>
    </w:p>
    <w:p w:rsidR="0002153A" w:rsidRDefault="0002153A" w:rsidP="0002153A">
      <w:pPr>
        <w:pStyle w:val="Akapitzlist"/>
        <w:numPr>
          <w:ilvl w:val="3"/>
          <w:numId w:val="6"/>
        </w:numPr>
        <w:rPr>
          <w:b/>
          <w:sz w:val="22"/>
          <w:szCs w:val="22"/>
        </w:rPr>
      </w:pPr>
      <w:r w:rsidRPr="00402185">
        <w:rPr>
          <w:b/>
          <w:sz w:val="22"/>
          <w:szCs w:val="22"/>
        </w:rPr>
        <w:t>Producent:</w:t>
      </w:r>
    </w:p>
    <w:p w:rsidR="00402185" w:rsidRPr="00402185" w:rsidRDefault="00402185" w:rsidP="00402185">
      <w:pPr>
        <w:rPr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9"/>
        <w:gridCol w:w="7968"/>
        <w:gridCol w:w="2126"/>
        <w:gridCol w:w="2127"/>
      </w:tblGrid>
      <w:tr w:rsidR="0002153A" w:rsidRPr="00402185" w:rsidTr="00C3565B">
        <w:trPr>
          <w:trHeight w:val="2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153A" w:rsidRPr="00402185" w:rsidRDefault="0002153A" w:rsidP="00402185">
            <w:pPr>
              <w:suppressAutoHyphens/>
              <w:spacing w:line="100" w:lineRule="atLeast"/>
              <w:rPr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 w:rsidRPr="00402185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153A" w:rsidRPr="00402185" w:rsidRDefault="0002153A" w:rsidP="00C3565B">
            <w:pPr>
              <w:suppressAutoHyphens/>
              <w:spacing w:line="100" w:lineRule="atLeast"/>
              <w:jc w:val="center"/>
              <w:rPr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 w:rsidRPr="00402185">
              <w:rPr>
                <w:b/>
                <w:bCs/>
                <w:color w:val="000000"/>
                <w:sz w:val="22"/>
                <w:szCs w:val="22"/>
              </w:rPr>
              <w:t>Opis parametru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153A" w:rsidRPr="00402185" w:rsidRDefault="0002153A" w:rsidP="00C3565B">
            <w:pPr>
              <w:suppressAutoHyphens/>
              <w:spacing w:line="100" w:lineRule="atLeast"/>
              <w:jc w:val="center"/>
              <w:rPr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 w:rsidRPr="00402185">
              <w:rPr>
                <w:b/>
                <w:bCs/>
                <w:color w:val="000000"/>
                <w:sz w:val="22"/>
                <w:szCs w:val="22"/>
              </w:rPr>
              <w:t>Parametr graniczny-wymagany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153A" w:rsidRPr="00402185" w:rsidRDefault="0002153A" w:rsidP="00C3565B">
            <w:pPr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ar-SA"/>
              </w:rPr>
            </w:pPr>
            <w:r w:rsidRPr="00402185">
              <w:rPr>
                <w:b/>
                <w:bCs/>
                <w:color w:val="000000"/>
                <w:sz w:val="22"/>
                <w:szCs w:val="22"/>
              </w:rPr>
              <w:t>Parametr oferowany</w:t>
            </w: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00"/>
        </w:trPr>
        <w:tc>
          <w:tcPr>
            <w:tcW w:w="129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402185">
            <w:pPr>
              <w:pStyle w:val="Akapitzlist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System obrazowania fluorescencyjnego o wysokiej rozdzielczości - do obrazowania fluorescencyjnego w świetle widzialnym i bliskiej podczerwieni z użyciem zieleni indocyjaninowej do zabiegów laparoskopowych oraz klasycznych</w:t>
            </w: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1.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Możliwość mapowania węzłów wartowniczych przy nowotworze szyjki macicy, sromu, endometrium i piersi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Możliwość nawigacji przy wykonywaniu systematycznej miednicznej limfadenektomii i węzłów aortalnych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3.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Możliwość wizualizacji ograniczenia złośliwego nacieku lub jego przerzutów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4.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Możliwość liczbowej ocenieny perfuzji jelitowej z anastomozą lub perfuzją bocznikową anastomozy dróg moczowych przy tylnych i przednich eksenteracjach w przypadku wielonarządowych operacji złośliwych nowotworów ginekologicznych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5.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Możliwość ocenienia uszkodzenia pasażu dróg limfatycznych po radykalnych operacjach w miednicy i piersiach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6.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Możliwość ocenienia procesu rozsiewu w obszarze nadbrzusza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7.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 xml:space="preserve">System wykorzystujący Zieleń Indocyjaninową (IGC) jako marker fluorescencyjny 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8.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Kamera umożliwiająca jednoczesną analizę kanału światła widzialnego oraz IR, oba kanały równocześnie w rozdzielczości HD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9.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Jednoczesna wizualizacja ICG/IR i światła widzialnego. Fuzja obrazowana w czasie rzeczywistym.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10.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Możliwość pracy w oświetleniu sali operacyjnej (brak konieczności wyłączenia lampy operacyjnej)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11.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System wyposażony w laserowe źródło wzbudzające o długości fali 805nm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12.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 xml:space="preserve">System wyposażony w ksenonowe źródło światła dla endoskopii, kompatybilne z </w:t>
            </w:r>
            <w:r w:rsidRPr="00402185">
              <w:rPr>
                <w:rFonts w:eastAsia="Arial"/>
                <w:sz w:val="22"/>
                <w:szCs w:val="22"/>
              </w:rPr>
              <w:lastRenderedPageBreak/>
              <w:t>pozostałymi komponentami systemu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13.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Długość fali światła obserwowanego 825-850nm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00"/>
        </w:trPr>
        <w:tc>
          <w:tcPr>
            <w:tcW w:w="129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402185">
            <w:pPr>
              <w:pStyle w:val="Akapitzlist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Medyczny Monitor - 1 szt.</w:t>
            </w: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14.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Rozdzielczość obrazu min. 4096 x 2160 pikseli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15.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Matryca monitora LCD z podświetleniem LED - typ panelu wyświetlacza LCD: IPS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16.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Przekątna ekranu min. 31”, ekran panoramiczny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17.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Rozmiar plamki: 0,1704 x 0,1704 mm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18.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Antyrefleksyjny, odporny na dezynfekcję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19.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Z rozstawem VESA zamontowany na ramieniu przegubowym zamocowanym do wózka laparoskopowego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00"/>
        </w:trPr>
        <w:tc>
          <w:tcPr>
            <w:tcW w:w="129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402185">
            <w:pPr>
              <w:pStyle w:val="Akapitzlist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Jednostka centralna - 1 szt.</w:t>
            </w: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20.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System umożliwiający fuzję obrazu światła widzialnego i podczerwonego w czasie rzeczywistym zarówno w trybie otwartym jak i endoskopowym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21.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System umożliwiający wyświetlanie kolorowej mapy cieplnej umożliwiającą analizę natężenia emisji w paśmie NIR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22.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 xml:space="preserve">Możliwość przedstawienia intensywności perfuzji w formie numerycznej w postaci wartości bezwzględnych jak również w odniesieniu do wskazanego obszaru, przy czym </w:t>
            </w:r>
            <w:r w:rsidRPr="00402185">
              <w:rPr>
                <w:rFonts w:eastAsia="Arial"/>
                <w:sz w:val="22"/>
                <w:szCs w:val="22"/>
              </w:rPr>
              <w:lastRenderedPageBreak/>
              <w:t>system zapewnia równomierne wzbudzenie światłem laserowym w polu obserwacji.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23.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Możliwość wykonywania dokumentacji zdjęciowej, nagraniowej bezpośrednio sterowana z panelu monitora i kamery w polu operacyjnym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24.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Jednostka centralna - obliczeniowa z dedykowanym oprogramowaniem, umożliwiająca archiwizację danych obrazowych. Możliwość nagrywania (archiwizacji) materiału w jednostce głównej, co najmniej 22h nagrania w pełnej rozdzielczości HD.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25.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Możliwość nagrywania (archiwizacji) materiału w jednostce głównej, co najmniej 22h nagrania w pełnej rozdzielczości HD. Nagrywanie osobno zarówno obrazu w paśmie widzialnym jak i w kanale NIR, wraz z możliwością analizy wysycenia NIR na nagraniu.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26.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Wewnętrzny dysk twardy o pojemności min 300GB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27.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Port USB min. 4 szt.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28.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Interfejs RJ45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29.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Wyjście video DVI 2 szt.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30.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Dotykowy ekran sterujący - matryca monitora LCD z podświetleniem LED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31.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Przekątna dotykowego ekranu sterującego min. 27”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00"/>
        </w:trPr>
        <w:tc>
          <w:tcPr>
            <w:tcW w:w="129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402185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eastAsia="Arial"/>
                <w:b/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Głowica kamery - 1 szt.</w:t>
            </w: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32.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Głowica kamery wyposażona w przetwornik w rozdzielczości High Definition w technologii CMOS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lastRenderedPageBreak/>
              <w:t>33.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Rozdzielczość wyjściowa obrazu Full HD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34.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Przyciski funkcyjne obsługi kamery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35.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Przewód video do połączenia kamery z jednostką centralną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36.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Przewód świetlny do połączenia kamery z laserowym źródłem światła IR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37.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Moduł operacji endoskopowych umożliwiający pracę z optykami endoskopowymi innych producentów, bez obrazowania NIR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38.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Moduł do operacji otwartych ze zmienną ogniskową. Możliwość pracy w zakresie 20-40cm nad obrazowanym obszarem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39.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Dodatkowe źródło światła widzialnego modułu do operacji otwartych, umożliwiające oświetlanie badanych struktur niezależnie od oświetlenia sali operacyjnej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40.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Ramię modułu do operacji otwartych z regulowanym położeniem umożliwiające wygodne pozycjonowanie kamery nad polem operacyjnym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41.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Możliwość pracy w oświetleniu sali operacyjnej (brak konieczności wyłączenia lampy operacyjnej)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42.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Możliwość rozbudowy ( wykorzystując wspólną jednostkę centralną) o endoskopowy system obrazowania przestrzennego 3D HD wykorzystujący endoskopy o średnicach 4mm i 5,5mm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00"/>
        </w:trPr>
        <w:tc>
          <w:tcPr>
            <w:tcW w:w="129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402185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eastAsia="Arial"/>
                <w:b/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Optyka laparoskopowa - 2 szt.</w:t>
            </w: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43.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Optyka laparoskopowa kompatybilna z dedykowaną jednostką centralną systemu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lastRenderedPageBreak/>
              <w:t>44.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Optyka dwukanałowa, z widmem transmisji widzialnego światła białego oraz widmem bliskiej podczerwieni NIR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45.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Do wyboru, endoskopy o średnicach 4mm, 5.5mm i 10mm, przy obu średnicach i kącie 0º, 30º, Rozdzielczość FULL HD, kompatybilne z emisją NIR - dostarczyć 2 szt zgodnie z wyborem Zamawiającego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00"/>
        </w:trPr>
        <w:tc>
          <w:tcPr>
            <w:tcW w:w="129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402185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eastAsia="Arial"/>
                <w:b/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Laserowe źródło światła - 1 szt.</w:t>
            </w: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46.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Laserowe źródło światła wzbudzające efekt fluorescencji o długości fali 805nm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widowControl w:val="0"/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00"/>
        </w:trPr>
        <w:tc>
          <w:tcPr>
            <w:tcW w:w="129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402185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eastAsia="Arial"/>
                <w:b/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Ksenonowe źródło światła - 1 szt.</w:t>
            </w: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47.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Ksenonowe źródło światła o mocy 300W do modułu obrazowania endoskopowego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48.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Temperatura barwowa ksenonowego źródła światła 5600° K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49.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Integrator światła łączący światło lasera ze światłem ksenonowym we wspólny kabel do modułu obrazowania endoskopowego endoskopu - 1 szt.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50.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Przewód światłowodowy do połączenia źródła światła z endoskopem - 1 szt.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00"/>
        </w:trPr>
        <w:tc>
          <w:tcPr>
            <w:tcW w:w="129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402185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eastAsia="Arial"/>
                <w:b/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Insuflator CO2 - 1 szt.</w:t>
            </w: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51.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Insuflator z automatyczna kontrolą ciśnienia i przepływu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52.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Maksymalna prędkość napełniania umożliwiająca 40l/min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53.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Wąż wysokiego ciśnienia do butli CO2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lastRenderedPageBreak/>
              <w:t>54.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Węże do insuflacji jednorazowe min. 8 szt.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55.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Wąż do insuflacji, wielorazowy, sterylizowalny, z obsługą podgrzewania gazu do insuflacji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56.</w:t>
            </w:r>
          </w:p>
        </w:tc>
        <w:tc>
          <w:tcPr>
            <w:tcW w:w="7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Wstępne ogrzewanie gazu do insuflacji w zakresie 35ºC – 40ºC za pomocą zewnętrznego wielorazowego, sterylizowalnego wymiennika ciepła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widowControl w:val="0"/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00"/>
        </w:trPr>
        <w:tc>
          <w:tcPr>
            <w:tcW w:w="129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402185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eastAsia="Arial"/>
                <w:b/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Pompa irygacyjna laparoskopowa - 1 szt.</w:t>
            </w: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57.</w:t>
            </w:r>
          </w:p>
        </w:tc>
        <w:tc>
          <w:tcPr>
            <w:tcW w:w="7987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Pompa ssąco-płucząca przeznaczona do opłukiwania tkanek oraz odsysania płynów z pola operacyjnego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58.</w:t>
            </w:r>
          </w:p>
        </w:tc>
        <w:tc>
          <w:tcPr>
            <w:tcW w:w="7987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Niezależnie włączany tor ssania i płukania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59.</w:t>
            </w:r>
          </w:p>
        </w:tc>
        <w:tc>
          <w:tcPr>
            <w:tcW w:w="7987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Płukanie realizowane w oparciu o moduł pompy rolkowej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60.</w:t>
            </w:r>
          </w:p>
        </w:tc>
        <w:tc>
          <w:tcPr>
            <w:tcW w:w="7987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Odsysanie realizowane na zasadzie pompy podciśnieniowej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61.</w:t>
            </w:r>
          </w:p>
        </w:tc>
        <w:tc>
          <w:tcPr>
            <w:tcW w:w="7987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Regulacja parametrów w obu torach za pomocą ssąco-płuczącego instrumentu laparoskopowego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62.</w:t>
            </w:r>
          </w:p>
        </w:tc>
        <w:tc>
          <w:tcPr>
            <w:tcW w:w="7987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Zdefiniowane wartości parametrów płukania i ssania w konsoli pompy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63.</w:t>
            </w:r>
          </w:p>
        </w:tc>
        <w:tc>
          <w:tcPr>
            <w:tcW w:w="7987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Możliwość współpracy z różnymi instrumentami ssąco-płuczącymi wykorzystywanymi w laparoskopii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64.</w:t>
            </w:r>
          </w:p>
        </w:tc>
        <w:tc>
          <w:tcPr>
            <w:tcW w:w="7987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Maksymalny przepływ w części płuczącej 1,8 l/min (+/- 10%)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65.</w:t>
            </w:r>
          </w:p>
        </w:tc>
        <w:tc>
          <w:tcPr>
            <w:tcW w:w="7987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Przepływ w części ssącej 1,8 l/min (+/- 10%)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lastRenderedPageBreak/>
              <w:t>66.</w:t>
            </w:r>
          </w:p>
        </w:tc>
        <w:tc>
          <w:tcPr>
            <w:tcW w:w="7987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Maksymalne nadciśnienie w torze płukania 400 mmHg (+/- 50mmHg)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67.</w:t>
            </w:r>
          </w:p>
        </w:tc>
        <w:tc>
          <w:tcPr>
            <w:tcW w:w="7987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Maksymalne podciśnienie w torze ssania od -50 kPa do -60 kPa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68.</w:t>
            </w:r>
          </w:p>
        </w:tc>
        <w:tc>
          <w:tcPr>
            <w:tcW w:w="7987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Część przyłączeniowa drenu kodowana kolorem i kształtem - zapewnia szybki, intuicyjny i prawidłowy montaż drenu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69.</w:t>
            </w:r>
          </w:p>
        </w:tc>
        <w:tc>
          <w:tcPr>
            <w:tcW w:w="7987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 xml:space="preserve">Sygnalizacja optyczno-akustyczna nieprawidłowego zainstalowania drenu 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00"/>
        </w:trPr>
        <w:tc>
          <w:tcPr>
            <w:tcW w:w="129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402185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eastAsia="Arial"/>
                <w:b/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Wózek aparaturowy - 1 szt.</w:t>
            </w: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70.</w:t>
            </w:r>
          </w:p>
        </w:tc>
        <w:tc>
          <w:tcPr>
            <w:tcW w:w="7987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Dedykowany wózek aparaturowy pozwalający na instalację wszystkich elementów systemu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71.</w:t>
            </w:r>
          </w:p>
        </w:tc>
        <w:tc>
          <w:tcPr>
            <w:tcW w:w="7987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Zabudowane, ukryte elektro- i wideo-okablowanie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72.</w:t>
            </w:r>
          </w:p>
        </w:tc>
        <w:tc>
          <w:tcPr>
            <w:tcW w:w="7987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Wózek wyposażony w mocowanie butli CO2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</w:p>
        </w:tc>
      </w:tr>
      <w:tr w:rsidR="0002153A" w:rsidRPr="00402185" w:rsidTr="00C356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3A" w:rsidRPr="00402185" w:rsidRDefault="0002153A" w:rsidP="00C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73</w:t>
            </w:r>
          </w:p>
        </w:tc>
        <w:tc>
          <w:tcPr>
            <w:tcW w:w="7987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  <w:r w:rsidRPr="00402185">
              <w:rPr>
                <w:rFonts w:eastAsia="Arial"/>
                <w:sz w:val="22"/>
                <w:szCs w:val="22"/>
              </w:rPr>
              <w:t>Wózek wyposażony w transformator izolacyjny o mocy nie mniej niż 1500VA</w:t>
            </w:r>
          </w:p>
        </w:tc>
        <w:tc>
          <w:tcPr>
            <w:tcW w:w="2126" w:type="dxa"/>
          </w:tcPr>
          <w:p w:rsidR="0002153A" w:rsidRPr="00402185" w:rsidRDefault="0002153A" w:rsidP="00C3565B">
            <w:pPr>
              <w:jc w:val="center"/>
              <w:rPr>
                <w:sz w:val="22"/>
                <w:szCs w:val="22"/>
              </w:rPr>
            </w:pPr>
            <w:r w:rsidRPr="00402185">
              <w:rPr>
                <w:rFonts w:eastAsia="Arial"/>
                <w:b/>
                <w:sz w:val="22"/>
                <w:szCs w:val="22"/>
              </w:rPr>
              <w:t>TAK</w:t>
            </w:r>
          </w:p>
        </w:tc>
        <w:tc>
          <w:tcPr>
            <w:tcW w:w="2127" w:type="dxa"/>
          </w:tcPr>
          <w:p w:rsidR="0002153A" w:rsidRPr="00402185" w:rsidRDefault="0002153A" w:rsidP="00C3565B">
            <w:pPr>
              <w:rPr>
                <w:rFonts w:eastAsia="Arial"/>
                <w:sz w:val="22"/>
                <w:szCs w:val="22"/>
              </w:rPr>
            </w:pPr>
          </w:p>
        </w:tc>
      </w:tr>
    </w:tbl>
    <w:p w:rsidR="0002153A" w:rsidRPr="00402185" w:rsidRDefault="0002153A" w:rsidP="0002153A">
      <w:pPr>
        <w:rPr>
          <w:b/>
          <w:sz w:val="22"/>
          <w:szCs w:val="22"/>
        </w:rPr>
      </w:pPr>
    </w:p>
    <w:tbl>
      <w:tblPr>
        <w:tblW w:w="1289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7967"/>
        <w:gridCol w:w="2126"/>
        <w:gridCol w:w="2126"/>
      </w:tblGrid>
      <w:tr w:rsidR="00402185" w:rsidRPr="00402185" w:rsidTr="00402185">
        <w:trPr>
          <w:trHeight w:val="320"/>
        </w:trPr>
        <w:tc>
          <w:tcPr>
            <w:tcW w:w="12899" w:type="dxa"/>
            <w:gridSpan w:val="4"/>
          </w:tcPr>
          <w:p w:rsidR="00402185" w:rsidRPr="00402185" w:rsidRDefault="00402185" w:rsidP="009002B7">
            <w:pPr>
              <w:jc w:val="center"/>
              <w:rPr>
                <w:b/>
                <w:sz w:val="22"/>
                <w:szCs w:val="22"/>
              </w:rPr>
            </w:pPr>
          </w:p>
          <w:p w:rsidR="00402185" w:rsidRPr="00402185" w:rsidRDefault="00402185" w:rsidP="009002B7">
            <w:pPr>
              <w:jc w:val="center"/>
              <w:rPr>
                <w:b/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WARUNKI GWARANCYJNE</w:t>
            </w:r>
          </w:p>
        </w:tc>
      </w:tr>
      <w:tr w:rsidR="00402185" w:rsidRPr="00402185" w:rsidTr="00402185">
        <w:tc>
          <w:tcPr>
            <w:tcW w:w="680" w:type="dxa"/>
          </w:tcPr>
          <w:p w:rsidR="00402185" w:rsidRPr="00402185" w:rsidRDefault="00402185" w:rsidP="0090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7967" w:type="dxa"/>
            <w:vAlign w:val="center"/>
          </w:tcPr>
          <w:p w:rsidR="00402185" w:rsidRPr="00402185" w:rsidRDefault="00402185" w:rsidP="0090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Pełna gwarancja (bez wyłączeń)  na dostarczony sprzęt i oprogramowanie na okres minimum 24 miesięcy </w:t>
            </w:r>
          </w:p>
        </w:tc>
        <w:tc>
          <w:tcPr>
            <w:tcW w:w="2126" w:type="dxa"/>
          </w:tcPr>
          <w:p w:rsidR="00402185" w:rsidRPr="00402185" w:rsidRDefault="00402185" w:rsidP="0090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402185">
              <w:rPr>
                <w:b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26" w:type="dxa"/>
          </w:tcPr>
          <w:p w:rsidR="00402185" w:rsidRPr="00402185" w:rsidRDefault="00402185" w:rsidP="0090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</w:p>
        </w:tc>
      </w:tr>
      <w:tr w:rsidR="00402185" w:rsidRPr="00402185" w:rsidTr="00402185">
        <w:tc>
          <w:tcPr>
            <w:tcW w:w="680" w:type="dxa"/>
          </w:tcPr>
          <w:p w:rsidR="00402185" w:rsidRPr="00402185" w:rsidRDefault="00402185" w:rsidP="0090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7967" w:type="dxa"/>
            <w:vAlign w:val="center"/>
          </w:tcPr>
          <w:p w:rsidR="00402185" w:rsidRPr="00402185" w:rsidRDefault="00402185" w:rsidP="0090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Czas reakcji na zgłoszenie usterki  24 godzin w dni robocze rozumiane jako dni od pn.-pt.  z wyłączeniem dni ustawowo wolnych od pracy. Czas reakcji w dni ustawowo wolne od pracy – 48 godzin.</w:t>
            </w:r>
          </w:p>
        </w:tc>
        <w:tc>
          <w:tcPr>
            <w:tcW w:w="2126" w:type="dxa"/>
          </w:tcPr>
          <w:p w:rsidR="00402185" w:rsidRPr="00402185" w:rsidRDefault="00402185" w:rsidP="009002B7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</w:tcPr>
          <w:p w:rsidR="00402185" w:rsidRPr="00402185" w:rsidRDefault="00402185" w:rsidP="0090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</w:p>
        </w:tc>
      </w:tr>
      <w:tr w:rsidR="00402185" w:rsidRPr="00402185" w:rsidTr="00402185">
        <w:tc>
          <w:tcPr>
            <w:tcW w:w="680" w:type="dxa"/>
          </w:tcPr>
          <w:p w:rsidR="00402185" w:rsidRPr="00402185" w:rsidRDefault="00402185" w:rsidP="0090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967" w:type="dxa"/>
            <w:vAlign w:val="center"/>
          </w:tcPr>
          <w:p w:rsidR="00402185" w:rsidRPr="00402185" w:rsidRDefault="00402185" w:rsidP="0090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 xml:space="preserve">Czas reakcji na zgłoszenie usterki  24 godzin w dni robocze rozumiane jako dni od pn.-pt.  z wyłączeniem dni ustawowo wolnych od pracy. Czas reakcji w dni ustawowo </w:t>
            </w:r>
            <w:r w:rsidRPr="00402185">
              <w:rPr>
                <w:color w:val="000000"/>
                <w:sz w:val="22"/>
                <w:szCs w:val="22"/>
              </w:rPr>
              <w:lastRenderedPageBreak/>
              <w:t>wolne od pracy – 48 godzin.</w:t>
            </w:r>
          </w:p>
        </w:tc>
        <w:tc>
          <w:tcPr>
            <w:tcW w:w="2126" w:type="dxa"/>
          </w:tcPr>
          <w:p w:rsidR="00402185" w:rsidRPr="00402185" w:rsidRDefault="00402185" w:rsidP="009002B7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26" w:type="dxa"/>
          </w:tcPr>
          <w:p w:rsidR="00402185" w:rsidRPr="00402185" w:rsidRDefault="00402185" w:rsidP="0090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</w:p>
        </w:tc>
      </w:tr>
      <w:tr w:rsidR="00402185" w:rsidRPr="00402185" w:rsidTr="00402185">
        <w:tc>
          <w:tcPr>
            <w:tcW w:w="680" w:type="dxa"/>
          </w:tcPr>
          <w:p w:rsidR="00402185" w:rsidRPr="00402185" w:rsidRDefault="00402185" w:rsidP="0090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967" w:type="dxa"/>
            <w:vAlign w:val="center"/>
          </w:tcPr>
          <w:p w:rsidR="00402185" w:rsidRPr="00402185" w:rsidRDefault="00402185" w:rsidP="0090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Czas skutecznej naprawy z użyciem  części zamiennych licząc od momentu zgłoszenia awarii – max 6 dni roboczych  rozumiane jako dni od pn.-pt. z wyłączeniem dni ustawowo wolnych od pracy.</w:t>
            </w:r>
          </w:p>
        </w:tc>
        <w:tc>
          <w:tcPr>
            <w:tcW w:w="2126" w:type="dxa"/>
          </w:tcPr>
          <w:p w:rsidR="00402185" w:rsidRPr="00402185" w:rsidRDefault="00402185" w:rsidP="009002B7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</w:tcPr>
          <w:p w:rsidR="00402185" w:rsidRPr="00402185" w:rsidRDefault="00402185" w:rsidP="0090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2"/>
                <w:szCs w:val="22"/>
              </w:rPr>
            </w:pPr>
          </w:p>
        </w:tc>
      </w:tr>
      <w:tr w:rsidR="00402185" w:rsidRPr="00402185" w:rsidTr="00402185">
        <w:tc>
          <w:tcPr>
            <w:tcW w:w="680" w:type="dxa"/>
          </w:tcPr>
          <w:p w:rsidR="00402185" w:rsidRPr="00402185" w:rsidRDefault="00402185" w:rsidP="0090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967" w:type="dxa"/>
            <w:vAlign w:val="center"/>
          </w:tcPr>
          <w:p w:rsidR="00402185" w:rsidRPr="00402185" w:rsidRDefault="00402185" w:rsidP="0090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W trakcie trwania gwarancji wszystkie naprawy oraz przeglądy techniczne przewidziane przez producenta wraz z materiałami zużywalnymi wykonywane na koszt Wykonawcy łącznie z dojazdem</w:t>
            </w:r>
          </w:p>
        </w:tc>
        <w:tc>
          <w:tcPr>
            <w:tcW w:w="2126" w:type="dxa"/>
          </w:tcPr>
          <w:p w:rsidR="00402185" w:rsidRPr="00402185" w:rsidRDefault="00402185" w:rsidP="009002B7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</w:tcPr>
          <w:p w:rsidR="00402185" w:rsidRPr="00402185" w:rsidRDefault="00402185" w:rsidP="0090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2"/>
                <w:szCs w:val="22"/>
              </w:rPr>
            </w:pPr>
          </w:p>
        </w:tc>
      </w:tr>
      <w:tr w:rsidR="00402185" w:rsidRPr="00402185" w:rsidTr="00402185">
        <w:tc>
          <w:tcPr>
            <w:tcW w:w="680" w:type="dxa"/>
          </w:tcPr>
          <w:p w:rsidR="00402185" w:rsidRPr="00402185" w:rsidRDefault="00402185" w:rsidP="0090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967" w:type="dxa"/>
            <w:vAlign w:val="center"/>
          </w:tcPr>
          <w:p w:rsidR="00402185" w:rsidRPr="00402185" w:rsidRDefault="00402185" w:rsidP="0090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Autoryzowane, posiadające stosowne uprawnienia punkty serwisowe na terenie Polski</w:t>
            </w:r>
          </w:p>
          <w:p w:rsidR="00402185" w:rsidRPr="00402185" w:rsidRDefault="00402185" w:rsidP="0090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Numer kontaktowy z serwisem Wykonawcy</w:t>
            </w:r>
          </w:p>
        </w:tc>
        <w:tc>
          <w:tcPr>
            <w:tcW w:w="2126" w:type="dxa"/>
          </w:tcPr>
          <w:p w:rsidR="00402185" w:rsidRPr="00402185" w:rsidRDefault="00402185" w:rsidP="009002B7">
            <w:pPr>
              <w:jc w:val="center"/>
              <w:rPr>
                <w:b/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  <w:p w:rsidR="00402185" w:rsidRPr="00402185" w:rsidRDefault="00402185" w:rsidP="009002B7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podać</w:t>
            </w:r>
          </w:p>
        </w:tc>
        <w:tc>
          <w:tcPr>
            <w:tcW w:w="2126" w:type="dxa"/>
          </w:tcPr>
          <w:p w:rsidR="00402185" w:rsidRPr="00402185" w:rsidRDefault="00402185" w:rsidP="0090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</w:p>
        </w:tc>
      </w:tr>
      <w:tr w:rsidR="00402185" w:rsidRPr="00402185" w:rsidTr="00402185">
        <w:tc>
          <w:tcPr>
            <w:tcW w:w="680" w:type="dxa"/>
          </w:tcPr>
          <w:p w:rsidR="00402185" w:rsidRPr="00402185" w:rsidRDefault="00402185" w:rsidP="0090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7967" w:type="dxa"/>
            <w:vAlign w:val="center"/>
          </w:tcPr>
          <w:p w:rsidR="00402185" w:rsidRPr="00402185" w:rsidRDefault="00402185" w:rsidP="0090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Szkolenie w zakresie obsługi sprzętu w siedzibie zamawiającego dla personelu medycznego oraz technicznego</w:t>
            </w:r>
          </w:p>
        </w:tc>
        <w:tc>
          <w:tcPr>
            <w:tcW w:w="2126" w:type="dxa"/>
          </w:tcPr>
          <w:p w:rsidR="00402185" w:rsidRPr="00402185" w:rsidRDefault="00402185" w:rsidP="009002B7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</w:tcPr>
          <w:p w:rsidR="00402185" w:rsidRPr="00402185" w:rsidRDefault="00402185" w:rsidP="0090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</w:p>
        </w:tc>
      </w:tr>
      <w:tr w:rsidR="00402185" w:rsidRPr="00402185" w:rsidTr="00402185">
        <w:tc>
          <w:tcPr>
            <w:tcW w:w="680" w:type="dxa"/>
          </w:tcPr>
          <w:p w:rsidR="00402185" w:rsidRPr="00402185" w:rsidRDefault="00402185" w:rsidP="0090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7967" w:type="dxa"/>
            <w:vAlign w:val="center"/>
          </w:tcPr>
          <w:p w:rsidR="00402185" w:rsidRPr="00402185" w:rsidRDefault="00402185" w:rsidP="0090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  <w:r w:rsidRPr="00402185">
              <w:rPr>
                <w:color w:val="000000"/>
                <w:sz w:val="22"/>
                <w:szCs w:val="22"/>
              </w:rPr>
              <w:t>Instrukcja użytkowania w języku polskim</w:t>
            </w:r>
          </w:p>
        </w:tc>
        <w:tc>
          <w:tcPr>
            <w:tcW w:w="2126" w:type="dxa"/>
          </w:tcPr>
          <w:p w:rsidR="00402185" w:rsidRPr="00402185" w:rsidRDefault="00402185" w:rsidP="009002B7">
            <w:pPr>
              <w:jc w:val="center"/>
              <w:rPr>
                <w:sz w:val="22"/>
                <w:szCs w:val="22"/>
              </w:rPr>
            </w:pPr>
            <w:r w:rsidRPr="00402185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</w:tcPr>
          <w:p w:rsidR="00402185" w:rsidRPr="00402185" w:rsidRDefault="00402185" w:rsidP="0090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2"/>
                <w:szCs w:val="22"/>
              </w:rPr>
            </w:pPr>
          </w:p>
        </w:tc>
      </w:tr>
    </w:tbl>
    <w:p w:rsidR="0002153A" w:rsidRPr="00402185" w:rsidRDefault="0002153A" w:rsidP="0002153A">
      <w:pPr>
        <w:rPr>
          <w:sz w:val="22"/>
          <w:szCs w:val="22"/>
        </w:rPr>
      </w:pPr>
    </w:p>
    <w:p w:rsidR="0002153A" w:rsidRPr="00402185" w:rsidRDefault="0002153A" w:rsidP="0002153A">
      <w:pPr>
        <w:rPr>
          <w:sz w:val="22"/>
          <w:szCs w:val="22"/>
        </w:rPr>
      </w:pPr>
    </w:p>
    <w:p w:rsidR="00A258BD" w:rsidRPr="00402185" w:rsidRDefault="00A258BD" w:rsidP="0002153A">
      <w:pPr>
        <w:rPr>
          <w:sz w:val="22"/>
          <w:szCs w:val="22"/>
        </w:rPr>
      </w:pPr>
    </w:p>
    <w:sectPr w:rsidR="00A258BD" w:rsidRPr="00402185" w:rsidSect="00185595">
      <w:headerReference w:type="default" r:id="rId7"/>
      <w:footerReference w:type="default" r:id="rId8"/>
      <w:pgSz w:w="16838" w:h="11906" w:orient="landscape"/>
      <w:pgMar w:top="1276" w:right="1418" w:bottom="1559" w:left="1418" w:header="709" w:footer="709" w:gutter="0"/>
      <w:pgNumType w:start="1"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84" w:rsidRDefault="00AD1784">
      <w:r>
        <w:separator/>
      </w:r>
    </w:p>
  </w:endnote>
  <w:endnote w:type="continuationSeparator" w:id="0">
    <w:p w:rsidR="00AD1784" w:rsidRDefault="00AD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65B" w:rsidRDefault="008543D7">
    <w:pPr>
      <w:pStyle w:val="Stopka"/>
      <w:jc w:val="center"/>
    </w:pPr>
    <w:r>
      <w:fldChar w:fldCharType="begin"/>
    </w:r>
    <w:r w:rsidR="00C3565B">
      <w:instrText xml:space="preserve"> PAGE   \* MERGEFORMAT </w:instrText>
    </w:r>
    <w:r>
      <w:fldChar w:fldCharType="separate"/>
    </w:r>
    <w:r w:rsidR="00185595">
      <w:rPr>
        <w:noProof/>
      </w:rPr>
      <w:t>1</w:t>
    </w:r>
    <w:r>
      <w:fldChar w:fldCharType="end"/>
    </w:r>
  </w:p>
  <w:p w:rsidR="00C3565B" w:rsidRDefault="00C356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84" w:rsidRDefault="00AD1784">
      <w:r>
        <w:separator/>
      </w:r>
    </w:p>
  </w:footnote>
  <w:footnote w:type="continuationSeparator" w:id="0">
    <w:p w:rsidR="00AD1784" w:rsidRDefault="00AD1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9A" w:rsidRDefault="00650B9A">
    <w:pPr>
      <w:pStyle w:val="Nagwek"/>
    </w:pPr>
    <w:r w:rsidRPr="00650B9A">
      <w:rPr>
        <w:noProof/>
      </w:rPr>
      <w:drawing>
        <wp:inline distT="0" distB="0" distL="0" distR="0">
          <wp:extent cx="9172575" cy="866775"/>
          <wp:effectExtent l="0" t="0" r="0" b="0"/>
          <wp:docPr id="1" name="Obraz 1" descr="C:\PROJEKTY\Bonifraci_szpital_wyposazenie_Katowice\WOP\1_WOP_24_05_2019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KTY\Bonifraci_szpital_wyposazenie_Katowice\WOP\1_WOP_24_05_2019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548" cy="86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0B9A" w:rsidRDefault="00650B9A">
    <w:pPr>
      <w:pStyle w:val="Nagwek"/>
    </w:pPr>
  </w:p>
  <w:p w:rsidR="00C3565B" w:rsidRPr="00867FDC" w:rsidRDefault="00C3565B" w:rsidP="00C3565B">
    <w:pPr>
      <w:pStyle w:val="Nagwek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8E6D67"/>
    <w:multiLevelType w:val="multilevel"/>
    <w:tmpl w:val="C18A72E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B717F40"/>
    <w:multiLevelType w:val="multilevel"/>
    <w:tmpl w:val="1B4206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A719A"/>
    <w:multiLevelType w:val="hybridMultilevel"/>
    <w:tmpl w:val="BF06FA8E"/>
    <w:lvl w:ilvl="0" w:tplc="DD767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81228"/>
    <w:multiLevelType w:val="hybridMultilevel"/>
    <w:tmpl w:val="DF649ABA"/>
    <w:lvl w:ilvl="0" w:tplc="5DA62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7212C2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74CE5DD0"/>
    <w:multiLevelType w:val="hybridMultilevel"/>
    <w:tmpl w:val="32DA42B6"/>
    <w:lvl w:ilvl="0" w:tplc="9E8E1A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64"/>
    <w:rsid w:val="0002153A"/>
    <w:rsid w:val="000F6094"/>
    <w:rsid w:val="00185595"/>
    <w:rsid w:val="00380E64"/>
    <w:rsid w:val="003C5436"/>
    <w:rsid w:val="00402185"/>
    <w:rsid w:val="00650B9A"/>
    <w:rsid w:val="00656A84"/>
    <w:rsid w:val="007E0DF4"/>
    <w:rsid w:val="008543D7"/>
    <w:rsid w:val="00997E96"/>
    <w:rsid w:val="00A258BD"/>
    <w:rsid w:val="00AD1784"/>
    <w:rsid w:val="00B94EB4"/>
    <w:rsid w:val="00C3565B"/>
    <w:rsid w:val="00CF6969"/>
    <w:rsid w:val="00D528A7"/>
    <w:rsid w:val="00E77E76"/>
    <w:rsid w:val="00E948E9"/>
    <w:rsid w:val="00F3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E5770-308A-48C9-AFF7-0BA12C52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4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997E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997E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997E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997E9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rsid w:val="00997E9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380E64"/>
    <w:pPr>
      <w:widowControl w:val="0"/>
      <w:suppressLineNumbers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80E64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80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E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0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E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">
    <w:name w:val="Body"/>
    <w:rsid w:val="00380E6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Default">
    <w:name w:val="Default"/>
    <w:rsid w:val="00380E64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  <w:lang w:val="en-US"/>
    </w:rPr>
  </w:style>
  <w:style w:type="paragraph" w:customStyle="1" w:styleId="Pa12">
    <w:name w:val="Pa12"/>
    <w:basedOn w:val="Default"/>
    <w:next w:val="Default"/>
    <w:uiPriority w:val="99"/>
    <w:rsid w:val="00380E64"/>
    <w:pPr>
      <w:spacing w:line="161" w:lineRule="atLeast"/>
    </w:pPr>
    <w:rPr>
      <w:rFonts w:ascii="Myriad Pro" w:hAnsi="Myriad Pro" w:cs="Times New Roman"/>
      <w:color w:val="auto"/>
      <w:lang w:val="pl-PL" w:eastAsia="pl-PL"/>
    </w:rPr>
  </w:style>
  <w:style w:type="paragraph" w:customStyle="1" w:styleId="Pa31">
    <w:name w:val="Pa31"/>
    <w:basedOn w:val="Default"/>
    <w:next w:val="Default"/>
    <w:uiPriority w:val="99"/>
    <w:rsid w:val="00380E64"/>
    <w:pPr>
      <w:spacing w:line="161" w:lineRule="atLeast"/>
    </w:pPr>
    <w:rPr>
      <w:rFonts w:ascii="Myriad Pro" w:hAnsi="Myriad Pro" w:cs="Times New Roman"/>
      <w:color w:val="auto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E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E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C5436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997E96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997E9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97E9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97E96"/>
    <w:rPr>
      <w:rFonts w:ascii="Times New Roman" w:eastAsia="Times New Roman" w:hAnsi="Times New Roman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997E9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customStyle="1" w:styleId="TableNormal">
    <w:name w:val="Table Normal"/>
    <w:rsid w:val="0099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997E9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997E96"/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997E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997E96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E96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99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2846</Words>
  <Characters>17082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Joanna Jasik</cp:lastModifiedBy>
  <cp:revision>3</cp:revision>
  <dcterms:created xsi:type="dcterms:W3CDTF">2020-03-10T08:57:00Z</dcterms:created>
  <dcterms:modified xsi:type="dcterms:W3CDTF">2020-03-12T08:47:00Z</dcterms:modified>
</cp:coreProperties>
</file>